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8FEB5" w14:textId="77777777" w:rsidR="000A7B93" w:rsidRDefault="000A7B93" w:rsidP="000A7B93">
      <w:pPr>
        <w:spacing w:after="0" w:line="240" w:lineRule="auto"/>
      </w:pPr>
    </w:p>
    <w:p w14:paraId="30164D27" w14:textId="73236810" w:rsidR="009F4E15" w:rsidRDefault="009F4E15" w:rsidP="001152C8">
      <w:pPr>
        <w:spacing w:after="0"/>
        <w:rPr>
          <w:b/>
        </w:rPr>
      </w:pPr>
      <w:r>
        <w:rPr>
          <w:b/>
        </w:rPr>
        <w:t>Policies &amp; Procedures</w:t>
      </w:r>
    </w:p>
    <w:tbl>
      <w:tblPr>
        <w:tblStyle w:val="TableGrid"/>
        <w:tblW w:w="9535" w:type="dxa"/>
        <w:tblLook w:val="04A0" w:firstRow="1" w:lastRow="0" w:firstColumn="1" w:lastColumn="0" w:noHBand="0" w:noVBand="1"/>
      </w:tblPr>
      <w:tblGrid>
        <w:gridCol w:w="8545"/>
        <w:gridCol w:w="990"/>
      </w:tblGrid>
      <w:tr w:rsidR="009F4E15" w:rsidRPr="00856574" w14:paraId="2A0D1F48" w14:textId="77777777" w:rsidTr="00F8522F">
        <w:tc>
          <w:tcPr>
            <w:tcW w:w="8545" w:type="dxa"/>
            <w:shd w:val="clear" w:color="auto" w:fill="BFBFBF" w:themeFill="background1" w:themeFillShade="BF"/>
          </w:tcPr>
          <w:p w14:paraId="629A9AAC" w14:textId="77777777" w:rsidR="009F4E15" w:rsidRPr="00856574" w:rsidRDefault="009F4E15" w:rsidP="00F8522F">
            <w:pPr>
              <w:jc w:val="center"/>
              <w:rPr>
                <w:b/>
              </w:rPr>
            </w:pPr>
            <w:r w:rsidRPr="00856574">
              <w:rPr>
                <w:b/>
              </w:rPr>
              <w:t>Requirement</w:t>
            </w:r>
          </w:p>
        </w:tc>
        <w:tc>
          <w:tcPr>
            <w:tcW w:w="990" w:type="dxa"/>
            <w:shd w:val="clear" w:color="auto" w:fill="BFBFBF" w:themeFill="background1" w:themeFillShade="BF"/>
          </w:tcPr>
          <w:p w14:paraId="602C9997" w14:textId="77777777" w:rsidR="009F4E15" w:rsidRPr="00856574" w:rsidRDefault="009F4E15" w:rsidP="00F8522F">
            <w:pPr>
              <w:jc w:val="center"/>
              <w:rPr>
                <w:b/>
              </w:rPr>
            </w:pPr>
            <w:r w:rsidRPr="00856574">
              <w:rPr>
                <w:b/>
              </w:rPr>
              <w:t>Source</w:t>
            </w:r>
          </w:p>
        </w:tc>
      </w:tr>
      <w:tr w:rsidR="001E14FE" w14:paraId="130C9156" w14:textId="77777777" w:rsidTr="009F4E15">
        <w:tc>
          <w:tcPr>
            <w:tcW w:w="8545" w:type="dxa"/>
          </w:tcPr>
          <w:p w14:paraId="5475D66F" w14:textId="67DF5B9E" w:rsidR="001E14FE" w:rsidRDefault="001E14FE" w:rsidP="001E14FE">
            <w:r>
              <w:t xml:space="preserve">Be compliant with all applicable disability non-discrimination laws including: the ADA, relevant portions of Section 188 of WIOA and its implementing regulations found in </w:t>
            </w:r>
            <w:hyperlink r:id="rId7" w:history="1">
              <w:r w:rsidRPr="003774C0">
                <w:rPr>
                  <w:rStyle w:val="Hyperlink"/>
                </w:rPr>
                <w:t>29 CFR Part 38</w:t>
              </w:r>
            </w:hyperlink>
            <w:r>
              <w:t xml:space="preserve">, Section 504 and the implementing regulations found in </w:t>
            </w:r>
            <w:hyperlink r:id="rId8" w:history="1">
              <w:r w:rsidRPr="003774C0">
                <w:rPr>
                  <w:rStyle w:val="Hyperlink"/>
                </w:rPr>
                <w:t>29 CFR Part 32</w:t>
              </w:r>
            </w:hyperlink>
            <w:r>
              <w:t>, and other applicable laws.</w:t>
            </w:r>
          </w:p>
        </w:tc>
        <w:tc>
          <w:tcPr>
            <w:tcW w:w="990" w:type="dxa"/>
          </w:tcPr>
          <w:p w14:paraId="47B052E4" w14:textId="77777777" w:rsidR="001E14FE" w:rsidRDefault="001E14FE" w:rsidP="001E14FE">
            <w:r>
              <w:t>B</w:t>
            </w:r>
          </w:p>
          <w:p w14:paraId="5268C440" w14:textId="77777777" w:rsidR="001E14FE" w:rsidRDefault="001E14FE" w:rsidP="001E14FE"/>
          <w:p w14:paraId="183DB9C6" w14:textId="77777777" w:rsidR="001E14FE" w:rsidRDefault="001E14FE" w:rsidP="001E14FE"/>
        </w:tc>
      </w:tr>
      <w:tr w:rsidR="001E14FE" w14:paraId="6B4D021F" w14:textId="77777777" w:rsidTr="005F63EB">
        <w:tc>
          <w:tcPr>
            <w:tcW w:w="8545" w:type="dxa"/>
          </w:tcPr>
          <w:p w14:paraId="643050C1" w14:textId="77777777" w:rsidR="001E14FE" w:rsidRDefault="001E14FE" w:rsidP="001E14FE">
            <w:r>
              <w:t>Do</w:t>
            </w:r>
            <w:r w:rsidRPr="00DA6AA3">
              <w:t xml:space="preserve"> not discriminate against individuals or classes of individuals on the basis of a physical, mental, or sensory disability when providing assistance, benefits, and services.</w:t>
            </w:r>
          </w:p>
        </w:tc>
        <w:tc>
          <w:tcPr>
            <w:tcW w:w="990" w:type="dxa"/>
          </w:tcPr>
          <w:p w14:paraId="2C96E504" w14:textId="77777777" w:rsidR="001E14FE" w:rsidRDefault="001E14FE" w:rsidP="001E14FE">
            <w:r>
              <w:t>B</w:t>
            </w:r>
          </w:p>
          <w:p w14:paraId="33DC8952" w14:textId="77777777" w:rsidR="001E14FE" w:rsidRDefault="001E14FE" w:rsidP="001E14FE"/>
          <w:p w14:paraId="2E8CD17A" w14:textId="77777777" w:rsidR="001E14FE" w:rsidRDefault="001E14FE" w:rsidP="001E14FE"/>
        </w:tc>
      </w:tr>
      <w:tr w:rsidR="001E14FE" w14:paraId="4C31A03E" w14:textId="77777777" w:rsidTr="005F63EB">
        <w:tc>
          <w:tcPr>
            <w:tcW w:w="8545" w:type="dxa"/>
          </w:tcPr>
          <w:p w14:paraId="04574013" w14:textId="77777777" w:rsidR="001E14FE" w:rsidRDefault="001E14FE" w:rsidP="001E14FE">
            <w:r>
              <w:t>Assure that communications with beneficiaries, applicants, registrants, eligible applicants/registrants, customers, employees or applicants for employment, and members of the public are effective for individuals with or without disabilities.</w:t>
            </w:r>
          </w:p>
        </w:tc>
        <w:tc>
          <w:tcPr>
            <w:tcW w:w="990" w:type="dxa"/>
          </w:tcPr>
          <w:p w14:paraId="2241C018" w14:textId="77777777" w:rsidR="001E14FE" w:rsidRDefault="001E14FE" w:rsidP="001E14FE">
            <w:r>
              <w:t>B</w:t>
            </w:r>
          </w:p>
          <w:p w14:paraId="4F730C1E" w14:textId="77777777" w:rsidR="001E14FE" w:rsidRDefault="001E14FE" w:rsidP="001E14FE"/>
          <w:p w14:paraId="0BA4CBF8" w14:textId="77777777" w:rsidR="001E14FE" w:rsidRDefault="001E14FE" w:rsidP="001E14FE"/>
        </w:tc>
      </w:tr>
      <w:tr w:rsidR="001E14FE" w14:paraId="2F13EE96" w14:textId="77777777" w:rsidTr="005F63EB">
        <w:tc>
          <w:tcPr>
            <w:tcW w:w="8545" w:type="dxa"/>
          </w:tcPr>
          <w:p w14:paraId="26DD3860" w14:textId="77777777" w:rsidR="001E14FE" w:rsidRDefault="001E14FE" w:rsidP="001E14FE">
            <w:r>
              <w:t>Ensure we don’t perpetuate discrimination by providing significant assistance to, contracting with, or accepting job orders from an agency, organization or business that discriminates</w:t>
            </w:r>
          </w:p>
        </w:tc>
        <w:tc>
          <w:tcPr>
            <w:tcW w:w="990" w:type="dxa"/>
          </w:tcPr>
          <w:p w14:paraId="0FC88A27" w14:textId="77777777" w:rsidR="001E14FE" w:rsidRDefault="001E14FE" w:rsidP="001E14FE">
            <w:r>
              <w:t>B</w:t>
            </w:r>
          </w:p>
          <w:p w14:paraId="1B68B464" w14:textId="77777777" w:rsidR="001E14FE" w:rsidRDefault="001E14FE" w:rsidP="001E14FE"/>
          <w:p w14:paraId="1ADD18FA" w14:textId="77777777" w:rsidR="001E14FE" w:rsidRDefault="001E14FE" w:rsidP="001E14FE"/>
        </w:tc>
      </w:tr>
      <w:tr w:rsidR="001E14FE" w14:paraId="0A1F2219" w14:textId="77777777" w:rsidTr="005F63EB">
        <w:tc>
          <w:tcPr>
            <w:tcW w:w="8545" w:type="dxa"/>
          </w:tcPr>
          <w:p w14:paraId="2AB4BA13" w14:textId="77777777" w:rsidR="001E14FE" w:rsidRDefault="001E14FE" w:rsidP="001E14FE">
            <w:r>
              <w:t>Ensure we don’t deny a qualified person with a disability the opportunity to participate in, or benefit from, the same program or activity afforded to other persons</w:t>
            </w:r>
          </w:p>
        </w:tc>
        <w:tc>
          <w:tcPr>
            <w:tcW w:w="990" w:type="dxa"/>
          </w:tcPr>
          <w:p w14:paraId="72532C9D" w14:textId="77777777" w:rsidR="001E14FE" w:rsidRDefault="001E14FE" w:rsidP="001E14FE">
            <w:r>
              <w:t>B</w:t>
            </w:r>
          </w:p>
          <w:p w14:paraId="7BE36856" w14:textId="77777777" w:rsidR="001E14FE" w:rsidRDefault="001E14FE" w:rsidP="001E14FE"/>
          <w:p w14:paraId="5E269B42" w14:textId="77777777" w:rsidR="001E14FE" w:rsidRDefault="001E14FE" w:rsidP="001E14FE"/>
        </w:tc>
      </w:tr>
      <w:tr w:rsidR="001E14FE" w14:paraId="220487ED" w14:textId="77777777" w:rsidTr="005F63EB">
        <w:tc>
          <w:tcPr>
            <w:tcW w:w="8545" w:type="dxa"/>
          </w:tcPr>
          <w:p w14:paraId="676BDADE" w14:textId="77777777" w:rsidR="001E14FE" w:rsidRDefault="001E14FE" w:rsidP="001E14FE">
            <w:r>
              <w:t>Ensure we don’t stereotype people when evaluating their skills, needs, abilities, and interests</w:t>
            </w:r>
          </w:p>
        </w:tc>
        <w:tc>
          <w:tcPr>
            <w:tcW w:w="990" w:type="dxa"/>
          </w:tcPr>
          <w:p w14:paraId="2FB862EC" w14:textId="77777777" w:rsidR="001E14FE" w:rsidRDefault="001E14FE" w:rsidP="001E14FE">
            <w:r>
              <w:t>B</w:t>
            </w:r>
          </w:p>
          <w:p w14:paraId="4FB7BD44" w14:textId="77777777" w:rsidR="001E14FE" w:rsidRDefault="001E14FE" w:rsidP="001E14FE"/>
          <w:p w14:paraId="56E4C91F" w14:textId="77777777" w:rsidR="001E14FE" w:rsidRDefault="001E14FE" w:rsidP="001E14FE"/>
        </w:tc>
      </w:tr>
      <w:tr w:rsidR="001E14FE" w14:paraId="097585BF" w14:textId="77777777" w:rsidTr="005F63EB">
        <w:tc>
          <w:tcPr>
            <w:tcW w:w="8545" w:type="dxa"/>
          </w:tcPr>
          <w:p w14:paraId="22DF4486" w14:textId="77777777" w:rsidR="001E14FE" w:rsidRDefault="001E14FE" w:rsidP="001E14FE">
            <w:r>
              <w:t>Have a plan in place to address customers with Limited English Proficiency</w:t>
            </w:r>
          </w:p>
        </w:tc>
        <w:tc>
          <w:tcPr>
            <w:tcW w:w="990" w:type="dxa"/>
          </w:tcPr>
          <w:p w14:paraId="6A548FB6" w14:textId="77777777" w:rsidR="001E14FE" w:rsidRDefault="001E14FE" w:rsidP="001E14FE">
            <w:r>
              <w:t>B</w:t>
            </w:r>
          </w:p>
          <w:p w14:paraId="491A1A73" w14:textId="77777777" w:rsidR="001E14FE" w:rsidRDefault="001E14FE" w:rsidP="001E14FE"/>
        </w:tc>
      </w:tr>
    </w:tbl>
    <w:p w14:paraId="7C98AD4D" w14:textId="77777777" w:rsidR="009F4E15" w:rsidRDefault="009F4E15" w:rsidP="001152C8">
      <w:pPr>
        <w:spacing w:after="0"/>
        <w:rPr>
          <w:b/>
        </w:rPr>
      </w:pPr>
    </w:p>
    <w:p w14:paraId="083D56AA" w14:textId="77777777" w:rsidR="001E14FE" w:rsidRDefault="001E14FE" w:rsidP="001E14FE">
      <w:pPr>
        <w:spacing w:after="0"/>
        <w:rPr>
          <w:b/>
        </w:rPr>
      </w:pPr>
      <w:r>
        <w:rPr>
          <w:b/>
        </w:rPr>
        <w:t>EO Officer</w:t>
      </w:r>
    </w:p>
    <w:tbl>
      <w:tblPr>
        <w:tblStyle w:val="TableGrid"/>
        <w:tblW w:w="9535" w:type="dxa"/>
        <w:tblLook w:val="04A0" w:firstRow="1" w:lastRow="0" w:firstColumn="1" w:lastColumn="0" w:noHBand="0" w:noVBand="1"/>
      </w:tblPr>
      <w:tblGrid>
        <w:gridCol w:w="8545"/>
        <w:gridCol w:w="990"/>
      </w:tblGrid>
      <w:tr w:rsidR="001E14FE" w:rsidRPr="00856574" w14:paraId="282A019E" w14:textId="77777777" w:rsidTr="00F8522F">
        <w:tc>
          <w:tcPr>
            <w:tcW w:w="8545" w:type="dxa"/>
            <w:shd w:val="clear" w:color="auto" w:fill="BFBFBF" w:themeFill="background1" w:themeFillShade="BF"/>
          </w:tcPr>
          <w:p w14:paraId="34327C9E" w14:textId="77777777" w:rsidR="001E14FE" w:rsidRPr="00856574" w:rsidRDefault="001E14FE" w:rsidP="00F8522F">
            <w:pPr>
              <w:jc w:val="center"/>
              <w:rPr>
                <w:b/>
              </w:rPr>
            </w:pPr>
            <w:r w:rsidRPr="00856574">
              <w:rPr>
                <w:b/>
              </w:rPr>
              <w:t>Requirement</w:t>
            </w:r>
          </w:p>
        </w:tc>
        <w:tc>
          <w:tcPr>
            <w:tcW w:w="990" w:type="dxa"/>
            <w:shd w:val="clear" w:color="auto" w:fill="BFBFBF" w:themeFill="background1" w:themeFillShade="BF"/>
          </w:tcPr>
          <w:p w14:paraId="0FE39078" w14:textId="77777777" w:rsidR="001E14FE" w:rsidRPr="00856574" w:rsidRDefault="001E14FE" w:rsidP="00F8522F">
            <w:pPr>
              <w:jc w:val="center"/>
              <w:rPr>
                <w:b/>
              </w:rPr>
            </w:pPr>
            <w:r w:rsidRPr="00856574">
              <w:rPr>
                <w:b/>
              </w:rPr>
              <w:t>Source</w:t>
            </w:r>
          </w:p>
        </w:tc>
      </w:tr>
      <w:tr w:rsidR="001E14FE" w14:paraId="4CDD44CF" w14:textId="77777777" w:rsidTr="00F8522F">
        <w:tc>
          <w:tcPr>
            <w:tcW w:w="8545" w:type="dxa"/>
          </w:tcPr>
          <w:p w14:paraId="6E8CE2D0" w14:textId="77777777" w:rsidR="001E14FE" w:rsidRDefault="001E14FE" w:rsidP="00F8522F">
            <w:r>
              <w:t>Designate a senior-level employee as the Equal Opportunity Officer</w:t>
            </w:r>
          </w:p>
        </w:tc>
        <w:tc>
          <w:tcPr>
            <w:tcW w:w="990" w:type="dxa"/>
          </w:tcPr>
          <w:p w14:paraId="2DE62C4A" w14:textId="77777777" w:rsidR="001E14FE" w:rsidRDefault="001E14FE" w:rsidP="00F8522F">
            <w:r>
              <w:t>B</w:t>
            </w:r>
          </w:p>
          <w:p w14:paraId="723DEDEB" w14:textId="77777777" w:rsidR="001E14FE" w:rsidRDefault="001E14FE" w:rsidP="00F8522F"/>
        </w:tc>
      </w:tr>
      <w:tr w:rsidR="001E14FE" w14:paraId="4AE30764" w14:textId="77777777" w:rsidTr="00F8522F">
        <w:tc>
          <w:tcPr>
            <w:tcW w:w="8545" w:type="dxa"/>
          </w:tcPr>
          <w:p w14:paraId="5FA59D87" w14:textId="77777777" w:rsidR="001E14FE" w:rsidRDefault="001E14FE" w:rsidP="00F8522F">
            <w:r>
              <w:t>Make public on all internal and external communication regarding non-discrimination and equal opportunity, the EO Officer’s name, position, title, business address, and telephone number (including TDD/TTY number)</w:t>
            </w:r>
          </w:p>
        </w:tc>
        <w:tc>
          <w:tcPr>
            <w:tcW w:w="990" w:type="dxa"/>
          </w:tcPr>
          <w:p w14:paraId="6F992632" w14:textId="77777777" w:rsidR="001E14FE" w:rsidRDefault="001E14FE" w:rsidP="00F8522F">
            <w:r>
              <w:t>B</w:t>
            </w:r>
          </w:p>
          <w:p w14:paraId="615B4A6B" w14:textId="77777777" w:rsidR="001E14FE" w:rsidRDefault="001E14FE" w:rsidP="00F8522F"/>
          <w:p w14:paraId="0642C743" w14:textId="77777777" w:rsidR="001E14FE" w:rsidRDefault="001E14FE" w:rsidP="00F8522F"/>
        </w:tc>
      </w:tr>
    </w:tbl>
    <w:p w14:paraId="029F6E0F" w14:textId="77777777" w:rsidR="001E14FE" w:rsidRDefault="001E14FE" w:rsidP="001152C8">
      <w:pPr>
        <w:spacing w:after="0"/>
        <w:rPr>
          <w:b/>
        </w:rPr>
      </w:pPr>
    </w:p>
    <w:p w14:paraId="394DEA0D" w14:textId="77777777" w:rsidR="009F4E15" w:rsidRDefault="009F4E15" w:rsidP="001152C8">
      <w:pPr>
        <w:spacing w:after="0"/>
        <w:rPr>
          <w:b/>
        </w:rPr>
      </w:pPr>
      <w:r>
        <w:rPr>
          <w:b/>
        </w:rPr>
        <w:t>Marketing</w:t>
      </w:r>
    </w:p>
    <w:tbl>
      <w:tblPr>
        <w:tblStyle w:val="TableGrid"/>
        <w:tblW w:w="9535" w:type="dxa"/>
        <w:tblLook w:val="04A0" w:firstRow="1" w:lastRow="0" w:firstColumn="1" w:lastColumn="0" w:noHBand="0" w:noVBand="1"/>
      </w:tblPr>
      <w:tblGrid>
        <w:gridCol w:w="8545"/>
        <w:gridCol w:w="990"/>
      </w:tblGrid>
      <w:tr w:rsidR="009F4E15" w:rsidRPr="00856574" w14:paraId="1EEE1BA5" w14:textId="77777777" w:rsidTr="00F8522F">
        <w:tc>
          <w:tcPr>
            <w:tcW w:w="8545" w:type="dxa"/>
            <w:shd w:val="clear" w:color="auto" w:fill="BFBFBF" w:themeFill="background1" w:themeFillShade="BF"/>
          </w:tcPr>
          <w:p w14:paraId="7D18BBD4" w14:textId="77777777" w:rsidR="009F4E15" w:rsidRPr="00856574" w:rsidRDefault="009F4E15" w:rsidP="00F8522F">
            <w:pPr>
              <w:jc w:val="center"/>
              <w:rPr>
                <w:b/>
              </w:rPr>
            </w:pPr>
            <w:r w:rsidRPr="00856574">
              <w:rPr>
                <w:b/>
              </w:rPr>
              <w:t>Requirement</w:t>
            </w:r>
          </w:p>
        </w:tc>
        <w:tc>
          <w:tcPr>
            <w:tcW w:w="990" w:type="dxa"/>
            <w:shd w:val="clear" w:color="auto" w:fill="BFBFBF" w:themeFill="background1" w:themeFillShade="BF"/>
          </w:tcPr>
          <w:p w14:paraId="38EAB352" w14:textId="77777777" w:rsidR="009F4E15" w:rsidRPr="00856574" w:rsidRDefault="009F4E15" w:rsidP="00F8522F">
            <w:pPr>
              <w:jc w:val="center"/>
              <w:rPr>
                <w:b/>
              </w:rPr>
            </w:pPr>
            <w:r w:rsidRPr="00856574">
              <w:rPr>
                <w:b/>
              </w:rPr>
              <w:t>Source</w:t>
            </w:r>
          </w:p>
        </w:tc>
      </w:tr>
      <w:tr w:rsidR="009F4E15" w14:paraId="7D26E313" w14:textId="77777777" w:rsidTr="00F8522F">
        <w:tc>
          <w:tcPr>
            <w:tcW w:w="8545" w:type="dxa"/>
          </w:tcPr>
          <w:p w14:paraId="2FA74E07" w14:textId="77777777" w:rsidR="009F4E15" w:rsidRPr="00856574" w:rsidRDefault="009F4E15" w:rsidP="00F8522F">
            <w:pPr>
              <w:rPr>
                <w:i/>
                <w:sz w:val="20"/>
                <w:szCs w:val="20"/>
              </w:rPr>
            </w:pPr>
            <w:r>
              <w:rPr>
                <w:color w:val="000000"/>
              </w:rPr>
              <w:t>Include approved tag lines on all r</w:t>
            </w:r>
            <w:r w:rsidRPr="00643FDA">
              <w:rPr>
                <w:color w:val="000000"/>
              </w:rPr>
              <w:t xml:space="preserve">ecruitment brochures and other </w:t>
            </w:r>
            <w:r>
              <w:rPr>
                <w:color w:val="000000"/>
              </w:rPr>
              <w:t xml:space="preserve">written or oral distributed </w:t>
            </w:r>
            <w:r w:rsidRPr="00643FDA">
              <w:rPr>
                <w:color w:val="000000"/>
              </w:rPr>
              <w:t>materials</w:t>
            </w:r>
            <w:r>
              <w:rPr>
                <w:color w:val="000000"/>
              </w:rPr>
              <w:t xml:space="preserve"> (excluding promotional items): </w:t>
            </w:r>
            <w:r w:rsidRPr="00856574">
              <w:rPr>
                <w:i/>
                <w:sz w:val="20"/>
                <w:szCs w:val="20"/>
              </w:rPr>
              <w:t xml:space="preserve">Workforce Solutions is an equal opportunity employer/program. Auxiliary aids and services are available upon request to individuals with disabilities. </w:t>
            </w:r>
          </w:p>
          <w:p w14:paraId="40692827" w14:textId="77777777" w:rsidR="009F4E15" w:rsidRDefault="009F4E15" w:rsidP="00F8522F">
            <w:r w:rsidRPr="00856574">
              <w:rPr>
                <w:i/>
                <w:sz w:val="20"/>
                <w:szCs w:val="20"/>
              </w:rPr>
              <w:t>Relay Texas Numbers:1-800-735-2989 (TDD) 1-800-735-2988 (Voice) or 711</w:t>
            </w:r>
          </w:p>
        </w:tc>
        <w:tc>
          <w:tcPr>
            <w:tcW w:w="990" w:type="dxa"/>
          </w:tcPr>
          <w:p w14:paraId="1D363032" w14:textId="77777777" w:rsidR="009F4E15" w:rsidRDefault="009F4E15" w:rsidP="00F8522F">
            <w:r>
              <w:t>A, B</w:t>
            </w:r>
          </w:p>
          <w:p w14:paraId="42E3A157" w14:textId="77777777" w:rsidR="009F4E15" w:rsidRDefault="009F4E15" w:rsidP="00F8522F"/>
          <w:p w14:paraId="31B162C5" w14:textId="77777777" w:rsidR="009F4E15" w:rsidRDefault="009F4E15" w:rsidP="00F8522F"/>
        </w:tc>
      </w:tr>
      <w:tr w:rsidR="007E17CA" w14:paraId="54ABFE35" w14:textId="77777777" w:rsidTr="00F8522F">
        <w:tc>
          <w:tcPr>
            <w:tcW w:w="8545" w:type="dxa"/>
          </w:tcPr>
          <w:p w14:paraId="57E242FE" w14:textId="77777777" w:rsidR="007E17CA" w:rsidRDefault="007E17CA" w:rsidP="00F8522F">
            <w:pPr>
              <w:rPr>
                <w:color w:val="000000"/>
              </w:rPr>
            </w:pPr>
            <w:r>
              <w:rPr>
                <w:color w:val="000000"/>
              </w:rPr>
              <w:t>Consult / coordinate with appropriate community service groups and schools to improve outreach</w:t>
            </w:r>
          </w:p>
        </w:tc>
        <w:tc>
          <w:tcPr>
            <w:tcW w:w="990" w:type="dxa"/>
          </w:tcPr>
          <w:p w14:paraId="1E30E41D" w14:textId="77777777" w:rsidR="007E17CA" w:rsidRDefault="007E17CA" w:rsidP="00F8522F">
            <w:r>
              <w:t>D</w:t>
            </w:r>
          </w:p>
        </w:tc>
      </w:tr>
    </w:tbl>
    <w:p w14:paraId="654410A4" w14:textId="77777777" w:rsidR="009F4E15" w:rsidRDefault="009F4E15" w:rsidP="001152C8">
      <w:pPr>
        <w:spacing w:after="0"/>
        <w:rPr>
          <w:b/>
        </w:rPr>
      </w:pPr>
    </w:p>
    <w:p w14:paraId="5B08A1E4" w14:textId="77777777" w:rsidR="00842D93" w:rsidRDefault="00842D93" w:rsidP="000A7B93">
      <w:pPr>
        <w:rPr>
          <w:b/>
        </w:rPr>
      </w:pPr>
    </w:p>
    <w:p w14:paraId="71AC3E4B" w14:textId="77777777" w:rsidR="00842D93" w:rsidRDefault="00842D93" w:rsidP="000A7B93">
      <w:pPr>
        <w:rPr>
          <w:b/>
        </w:rPr>
      </w:pPr>
    </w:p>
    <w:p w14:paraId="3C263560" w14:textId="75379DC3" w:rsidR="005F63EB" w:rsidRDefault="005F63EB" w:rsidP="000A7B93">
      <w:pPr>
        <w:rPr>
          <w:b/>
        </w:rPr>
      </w:pPr>
      <w:r>
        <w:rPr>
          <w:b/>
        </w:rPr>
        <w:lastRenderedPageBreak/>
        <w:t>Training</w:t>
      </w:r>
    </w:p>
    <w:tbl>
      <w:tblPr>
        <w:tblStyle w:val="TableGrid"/>
        <w:tblW w:w="9535" w:type="dxa"/>
        <w:tblLook w:val="04A0" w:firstRow="1" w:lastRow="0" w:firstColumn="1" w:lastColumn="0" w:noHBand="0" w:noVBand="1"/>
      </w:tblPr>
      <w:tblGrid>
        <w:gridCol w:w="8545"/>
        <w:gridCol w:w="990"/>
      </w:tblGrid>
      <w:tr w:rsidR="005F63EB" w:rsidRPr="00856574" w14:paraId="0C1E40AE" w14:textId="77777777" w:rsidTr="00F8522F">
        <w:tc>
          <w:tcPr>
            <w:tcW w:w="8545" w:type="dxa"/>
            <w:shd w:val="clear" w:color="auto" w:fill="BFBFBF" w:themeFill="background1" w:themeFillShade="BF"/>
          </w:tcPr>
          <w:p w14:paraId="20DA6FEE" w14:textId="77777777" w:rsidR="005F63EB" w:rsidRPr="00856574" w:rsidRDefault="005F63EB" w:rsidP="00F8522F">
            <w:pPr>
              <w:jc w:val="center"/>
              <w:rPr>
                <w:b/>
              </w:rPr>
            </w:pPr>
            <w:r w:rsidRPr="00856574">
              <w:rPr>
                <w:b/>
              </w:rPr>
              <w:t>Requirement</w:t>
            </w:r>
          </w:p>
        </w:tc>
        <w:tc>
          <w:tcPr>
            <w:tcW w:w="990" w:type="dxa"/>
            <w:shd w:val="clear" w:color="auto" w:fill="BFBFBF" w:themeFill="background1" w:themeFillShade="BF"/>
          </w:tcPr>
          <w:p w14:paraId="7704BEF2" w14:textId="77777777" w:rsidR="005F63EB" w:rsidRPr="00856574" w:rsidRDefault="005F63EB" w:rsidP="00F8522F">
            <w:pPr>
              <w:jc w:val="center"/>
              <w:rPr>
                <w:b/>
              </w:rPr>
            </w:pPr>
            <w:r w:rsidRPr="00856574">
              <w:rPr>
                <w:b/>
              </w:rPr>
              <w:t>Source</w:t>
            </w:r>
          </w:p>
        </w:tc>
      </w:tr>
      <w:tr w:rsidR="005F63EB" w14:paraId="14C654A0" w14:textId="77777777" w:rsidTr="005F63EB">
        <w:tc>
          <w:tcPr>
            <w:tcW w:w="8545" w:type="dxa"/>
          </w:tcPr>
          <w:p w14:paraId="7FA402F0" w14:textId="77777777" w:rsidR="005F63EB" w:rsidRDefault="005F63EB" w:rsidP="00F8522F">
            <w:r>
              <w:t xml:space="preserve">Attend training that is deemed necessary by the EO Officer. Records of training must be maintained and made available upon request. </w:t>
            </w:r>
          </w:p>
          <w:p w14:paraId="5211A613" w14:textId="77777777" w:rsidR="005F63EB" w:rsidRDefault="005F63EB" w:rsidP="00F8522F"/>
        </w:tc>
        <w:tc>
          <w:tcPr>
            <w:tcW w:w="990" w:type="dxa"/>
          </w:tcPr>
          <w:p w14:paraId="0A1D0E88" w14:textId="77777777" w:rsidR="005F63EB" w:rsidRDefault="005F63EB" w:rsidP="00F8522F">
            <w:r>
              <w:t>B</w:t>
            </w:r>
          </w:p>
          <w:p w14:paraId="17C332E7" w14:textId="77777777" w:rsidR="005F63EB" w:rsidRDefault="005F63EB" w:rsidP="00F8522F"/>
          <w:p w14:paraId="368483F0" w14:textId="77777777" w:rsidR="005F63EB" w:rsidRDefault="005F63EB" w:rsidP="00F8522F"/>
        </w:tc>
      </w:tr>
    </w:tbl>
    <w:p w14:paraId="17A927B7" w14:textId="77777777" w:rsidR="005F63EB" w:rsidRDefault="005F63EB" w:rsidP="001152C8">
      <w:pPr>
        <w:spacing w:after="0"/>
        <w:rPr>
          <w:b/>
        </w:rPr>
      </w:pPr>
    </w:p>
    <w:p w14:paraId="4F6543B0" w14:textId="77777777" w:rsidR="001152C8" w:rsidRDefault="009F4E15" w:rsidP="001152C8">
      <w:pPr>
        <w:spacing w:after="0"/>
        <w:rPr>
          <w:b/>
        </w:rPr>
      </w:pPr>
      <w:r>
        <w:rPr>
          <w:b/>
        </w:rPr>
        <w:t>Complaints</w:t>
      </w:r>
    </w:p>
    <w:tbl>
      <w:tblPr>
        <w:tblStyle w:val="TableGrid"/>
        <w:tblW w:w="9535" w:type="dxa"/>
        <w:tblLook w:val="04A0" w:firstRow="1" w:lastRow="0" w:firstColumn="1" w:lastColumn="0" w:noHBand="0" w:noVBand="1"/>
      </w:tblPr>
      <w:tblGrid>
        <w:gridCol w:w="8545"/>
        <w:gridCol w:w="990"/>
      </w:tblGrid>
      <w:tr w:rsidR="009F4E15" w:rsidRPr="00856574" w14:paraId="09BBB6B8" w14:textId="77777777" w:rsidTr="009F4E15">
        <w:tc>
          <w:tcPr>
            <w:tcW w:w="8545" w:type="dxa"/>
            <w:shd w:val="clear" w:color="auto" w:fill="BFBFBF" w:themeFill="background1" w:themeFillShade="BF"/>
          </w:tcPr>
          <w:p w14:paraId="7AE29738" w14:textId="77777777" w:rsidR="009F4E15" w:rsidRPr="00856574" w:rsidRDefault="009F4E15" w:rsidP="00F8522F">
            <w:pPr>
              <w:jc w:val="center"/>
              <w:rPr>
                <w:b/>
              </w:rPr>
            </w:pPr>
            <w:r w:rsidRPr="00856574">
              <w:rPr>
                <w:b/>
              </w:rPr>
              <w:t>Requirement</w:t>
            </w:r>
          </w:p>
        </w:tc>
        <w:tc>
          <w:tcPr>
            <w:tcW w:w="990" w:type="dxa"/>
            <w:shd w:val="clear" w:color="auto" w:fill="BFBFBF" w:themeFill="background1" w:themeFillShade="BF"/>
          </w:tcPr>
          <w:p w14:paraId="61D028D7" w14:textId="77777777" w:rsidR="009F4E15" w:rsidRPr="00856574" w:rsidRDefault="009F4E15" w:rsidP="00F8522F">
            <w:pPr>
              <w:jc w:val="center"/>
              <w:rPr>
                <w:b/>
              </w:rPr>
            </w:pPr>
            <w:r w:rsidRPr="00856574">
              <w:rPr>
                <w:b/>
              </w:rPr>
              <w:t>Source</w:t>
            </w:r>
          </w:p>
        </w:tc>
      </w:tr>
      <w:tr w:rsidR="009F4E15" w14:paraId="440A9B31" w14:textId="77777777" w:rsidTr="00F8522F">
        <w:tc>
          <w:tcPr>
            <w:tcW w:w="8545" w:type="dxa"/>
          </w:tcPr>
          <w:p w14:paraId="3E0F0707" w14:textId="77777777" w:rsidR="009F4E15" w:rsidRDefault="009F4E15" w:rsidP="009F4E15">
            <w:pPr>
              <w:rPr>
                <w:rFonts w:eastAsia="Arial Unicode MS"/>
                <w:w w:val="102"/>
              </w:rPr>
            </w:pPr>
            <w:r>
              <w:t xml:space="preserve">Ensure </w:t>
            </w:r>
            <w:r w:rsidRPr="00032EA9">
              <w:rPr>
                <w:rFonts w:eastAsia="Arial Unicode MS"/>
                <w:w w:val="102"/>
              </w:rPr>
              <w:t>posters</w:t>
            </w:r>
            <w:r>
              <w:rPr>
                <w:rFonts w:eastAsia="Arial Unicode MS"/>
                <w:w w:val="102"/>
              </w:rPr>
              <w:t xml:space="preserve"> </w:t>
            </w:r>
            <w:r w:rsidRPr="00032EA9">
              <w:rPr>
                <w:rFonts w:eastAsia="Arial Unicode MS"/>
                <w:w w:val="102"/>
              </w:rPr>
              <w:t xml:space="preserve">are in every </w:t>
            </w:r>
            <w:r w:rsidRPr="00032EA9">
              <w:rPr>
                <w:rFonts w:eastAsia="Arial Unicode MS"/>
                <w:spacing w:val="3"/>
              </w:rPr>
              <w:t>office in clear and open view of public traffic</w:t>
            </w:r>
            <w:r w:rsidRPr="00032EA9">
              <w:rPr>
                <w:rFonts w:eastAsia="Arial Unicode MS"/>
                <w:w w:val="102"/>
              </w:rPr>
              <w:t xml:space="preserve"> </w:t>
            </w:r>
            <w:r>
              <w:rPr>
                <w:rFonts w:eastAsia="Arial Unicode MS"/>
                <w:w w:val="102"/>
              </w:rPr>
              <w:t xml:space="preserve">that contain exact wording from 29 CFR 38.35, to </w:t>
            </w:r>
            <w:r w:rsidRPr="00032EA9">
              <w:rPr>
                <w:rFonts w:eastAsia="Arial Unicode MS"/>
                <w:w w:val="102"/>
              </w:rPr>
              <w:t xml:space="preserve">inform </w:t>
            </w:r>
            <w:r>
              <w:rPr>
                <w:rFonts w:eastAsia="Arial Unicode MS"/>
                <w:w w:val="102"/>
              </w:rPr>
              <w:t>customers of</w:t>
            </w:r>
            <w:r w:rsidRPr="00032EA9">
              <w:rPr>
                <w:rFonts w:eastAsia="Arial Unicode MS"/>
                <w:w w:val="102"/>
              </w:rPr>
              <w:t xml:space="preserve"> complaint procedures </w:t>
            </w:r>
          </w:p>
          <w:p w14:paraId="0C4EB6BD" w14:textId="77777777" w:rsidR="003774C0" w:rsidRDefault="003774C0" w:rsidP="009F4E15">
            <w:pPr>
              <w:rPr>
                <w:rFonts w:eastAsia="Arial Unicode MS"/>
                <w:w w:val="102"/>
              </w:rPr>
            </w:pPr>
          </w:p>
          <w:p w14:paraId="588D48B2" w14:textId="77777777" w:rsidR="003774C0" w:rsidRPr="003774C0" w:rsidRDefault="003774C0" w:rsidP="003774C0">
            <w:pPr>
              <w:rPr>
                <w:i/>
              </w:rPr>
            </w:pPr>
            <w:r w:rsidRPr="003774C0">
              <w:rPr>
                <w:i/>
              </w:rPr>
              <w:t>Equal Opportunity Is the Law</w:t>
            </w:r>
          </w:p>
          <w:p w14:paraId="3F2AC714" w14:textId="77777777" w:rsidR="003774C0" w:rsidRPr="003774C0" w:rsidRDefault="003774C0" w:rsidP="003774C0">
            <w:pPr>
              <w:rPr>
                <w:i/>
              </w:rPr>
            </w:pPr>
          </w:p>
          <w:p w14:paraId="6724321D" w14:textId="77777777" w:rsidR="003774C0" w:rsidRPr="003774C0" w:rsidRDefault="003774C0" w:rsidP="003774C0">
            <w:pPr>
              <w:rPr>
                <w:i/>
              </w:rPr>
            </w:pPr>
            <w:r w:rsidRPr="003774C0">
              <w:rPr>
                <w:i/>
              </w:rPr>
              <w:t>It is against the law for this recipient of Federal financial assistance to discriminate on the following bases: Against any individual in the United States, on the basis of 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I of the Workforce Innovation and Opportunity Act, on the basis of the individual's citizenship status or participation in any WIOA Title I-financially assisted program or activity.</w:t>
            </w:r>
          </w:p>
          <w:p w14:paraId="72A3794B" w14:textId="77777777" w:rsidR="003774C0" w:rsidRPr="003774C0" w:rsidRDefault="003774C0" w:rsidP="003774C0">
            <w:pPr>
              <w:rPr>
                <w:i/>
              </w:rPr>
            </w:pPr>
          </w:p>
          <w:p w14:paraId="04712EA2" w14:textId="77777777" w:rsidR="003774C0" w:rsidRPr="003774C0" w:rsidRDefault="003774C0" w:rsidP="003774C0">
            <w:pPr>
              <w:rPr>
                <w:i/>
              </w:rPr>
            </w:pPr>
            <w:r w:rsidRPr="003774C0">
              <w:rPr>
                <w:i/>
              </w:rPr>
              <w:t>The recipient must not discriminate in any of the following areas:</w:t>
            </w:r>
          </w:p>
          <w:p w14:paraId="05169E0C" w14:textId="77777777" w:rsidR="003774C0" w:rsidRPr="003774C0" w:rsidRDefault="003774C0" w:rsidP="003774C0">
            <w:pPr>
              <w:rPr>
                <w:i/>
              </w:rPr>
            </w:pPr>
          </w:p>
          <w:p w14:paraId="4FB9F7BE" w14:textId="77777777" w:rsidR="003774C0" w:rsidRPr="003774C0" w:rsidRDefault="003774C0" w:rsidP="003774C0">
            <w:pPr>
              <w:rPr>
                <w:i/>
              </w:rPr>
            </w:pPr>
            <w:r w:rsidRPr="003774C0">
              <w:rPr>
                <w:i/>
              </w:rPr>
              <w:t>Deciding who will be admitted, or have access, to any WIOA Title I-financially assisted program or activity;</w:t>
            </w:r>
          </w:p>
          <w:p w14:paraId="2C621582" w14:textId="77777777" w:rsidR="003774C0" w:rsidRPr="003774C0" w:rsidRDefault="003774C0" w:rsidP="003774C0">
            <w:pPr>
              <w:rPr>
                <w:i/>
              </w:rPr>
            </w:pPr>
          </w:p>
          <w:p w14:paraId="49DFDBC4" w14:textId="77777777" w:rsidR="003774C0" w:rsidRPr="003774C0" w:rsidRDefault="003774C0" w:rsidP="003774C0">
            <w:pPr>
              <w:rPr>
                <w:i/>
              </w:rPr>
            </w:pPr>
            <w:r w:rsidRPr="003774C0">
              <w:rPr>
                <w:i/>
              </w:rPr>
              <w:t>providing opportunities in, or treating any person with regard to, such a program or activity; or</w:t>
            </w:r>
          </w:p>
          <w:p w14:paraId="2BFEC93E" w14:textId="77777777" w:rsidR="003774C0" w:rsidRPr="003774C0" w:rsidRDefault="003774C0" w:rsidP="003774C0">
            <w:pPr>
              <w:rPr>
                <w:i/>
              </w:rPr>
            </w:pPr>
          </w:p>
          <w:p w14:paraId="687B1D99" w14:textId="77777777" w:rsidR="003774C0" w:rsidRPr="003774C0" w:rsidRDefault="003774C0" w:rsidP="003774C0">
            <w:pPr>
              <w:rPr>
                <w:i/>
              </w:rPr>
            </w:pPr>
            <w:r w:rsidRPr="003774C0">
              <w:rPr>
                <w:i/>
              </w:rPr>
              <w:t>making employment decisions in the administration of, or in connection with, such a program or activity.</w:t>
            </w:r>
          </w:p>
          <w:p w14:paraId="562B5AC3" w14:textId="77777777" w:rsidR="003774C0" w:rsidRPr="003774C0" w:rsidRDefault="003774C0" w:rsidP="003774C0">
            <w:pPr>
              <w:rPr>
                <w:i/>
              </w:rPr>
            </w:pPr>
          </w:p>
          <w:p w14:paraId="5845BF0F" w14:textId="77777777" w:rsidR="003774C0" w:rsidRPr="003774C0" w:rsidRDefault="003774C0" w:rsidP="003774C0">
            <w:pPr>
              <w:rPr>
                <w:i/>
              </w:rPr>
            </w:pPr>
            <w:r w:rsidRPr="003774C0">
              <w:rPr>
                <w:i/>
              </w:rPr>
              <w:t>Recipients of federal financial assistance must take reasonable steps to ensure that communications with individuals with disabilities are as effective as communications with others. This means that, upon request and at no cost to the individual, recipients are required to provide appropriate auxiliary aids and services to qualified individuals with disabilities.</w:t>
            </w:r>
          </w:p>
          <w:p w14:paraId="06BF8296" w14:textId="77777777" w:rsidR="003774C0" w:rsidRPr="003774C0" w:rsidRDefault="003774C0" w:rsidP="003774C0">
            <w:pPr>
              <w:rPr>
                <w:i/>
              </w:rPr>
            </w:pPr>
          </w:p>
          <w:p w14:paraId="7C0169B0" w14:textId="77777777" w:rsidR="003774C0" w:rsidRPr="003774C0" w:rsidRDefault="003774C0" w:rsidP="003774C0">
            <w:pPr>
              <w:rPr>
                <w:i/>
              </w:rPr>
            </w:pPr>
            <w:r w:rsidRPr="003774C0">
              <w:rPr>
                <w:i/>
              </w:rPr>
              <w:t xml:space="preserve">What </w:t>
            </w:r>
            <w:proofErr w:type="gramStart"/>
            <w:r w:rsidRPr="003774C0">
              <w:rPr>
                <w:i/>
              </w:rPr>
              <w:t>To</w:t>
            </w:r>
            <w:proofErr w:type="gramEnd"/>
            <w:r w:rsidRPr="003774C0">
              <w:rPr>
                <w:i/>
              </w:rPr>
              <w:t xml:space="preserve"> Do If You Believe You Have Experienced Discrimination</w:t>
            </w:r>
          </w:p>
          <w:p w14:paraId="5D4083CA" w14:textId="77777777" w:rsidR="003774C0" w:rsidRPr="003774C0" w:rsidRDefault="003774C0" w:rsidP="003774C0">
            <w:pPr>
              <w:rPr>
                <w:i/>
              </w:rPr>
            </w:pPr>
          </w:p>
          <w:p w14:paraId="0F0CCA28" w14:textId="77777777" w:rsidR="003774C0" w:rsidRPr="003774C0" w:rsidRDefault="003774C0" w:rsidP="003774C0">
            <w:pPr>
              <w:rPr>
                <w:i/>
              </w:rPr>
            </w:pPr>
            <w:r w:rsidRPr="003774C0">
              <w:rPr>
                <w:i/>
              </w:rPr>
              <w:lastRenderedPageBreak/>
              <w:t>If you think that you have been subjected to discrimination under a WIOA Title I-financially assisted program or activity, you may file a complaint within 180 days from the date of the alleged violation with either:</w:t>
            </w:r>
          </w:p>
          <w:p w14:paraId="78B417FA" w14:textId="77777777" w:rsidR="003774C0" w:rsidRDefault="003774C0" w:rsidP="003774C0"/>
          <w:p w14:paraId="3008BB8C" w14:textId="77777777" w:rsidR="003774C0" w:rsidRPr="003774C0" w:rsidRDefault="003774C0" w:rsidP="003774C0">
            <w:pPr>
              <w:rPr>
                <w:i/>
              </w:rPr>
            </w:pPr>
            <w:r w:rsidRPr="003774C0">
              <w:rPr>
                <w:i/>
              </w:rPr>
              <w:t>The recipient's Equal Opportunity Officer (or the person whom the recipient has designated for this purpose); or</w:t>
            </w:r>
          </w:p>
          <w:p w14:paraId="5A0FA8B9" w14:textId="77777777" w:rsidR="003774C0" w:rsidRPr="003774C0" w:rsidRDefault="003774C0" w:rsidP="003774C0">
            <w:pPr>
              <w:rPr>
                <w:i/>
              </w:rPr>
            </w:pPr>
          </w:p>
          <w:p w14:paraId="25C8AA42" w14:textId="77777777" w:rsidR="003774C0" w:rsidRPr="003774C0" w:rsidRDefault="003774C0" w:rsidP="003774C0">
            <w:pPr>
              <w:rPr>
                <w:i/>
              </w:rPr>
            </w:pPr>
            <w:r w:rsidRPr="003774C0">
              <w:rPr>
                <w:i/>
              </w:rPr>
              <w:t>The Director, Civil Rights Center (CRC), U.S. Department of Labor, 200 Constitution Avenue NW., Room N-4123, Washington, DC 20210 or electronically as directed on the CRC Web site at www.dol.gov/crc.</w:t>
            </w:r>
          </w:p>
          <w:p w14:paraId="1E3872C8" w14:textId="77777777" w:rsidR="003774C0" w:rsidRPr="003774C0" w:rsidRDefault="003774C0" w:rsidP="003774C0">
            <w:pPr>
              <w:rPr>
                <w:i/>
              </w:rPr>
            </w:pPr>
          </w:p>
          <w:p w14:paraId="76981D19" w14:textId="77777777" w:rsidR="003774C0" w:rsidRPr="003774C0" w:rsidRDefault="003774C0" w:rsidP="003774C0">
            <w:pPr>
              <w:rPr>
                <w:i/>
              </w:rPr>
            </w:pPr>
            <w:r w:rsidRPr="003774C0">
              <w:rPr>
                <w:i/>
              </w:rPr>
              <w:t>If you file your complaint with the recipient, you must wait either until the recipient issues a written Notice of Final Action, or until 90 days have passed (whichever is sooner), before filing with the Civil Rights Center (see address above).</w:t>
            </w:r>
          </w:p>
          <w:p w14:paraId="44A13BFF" w14:textId="77777777" w:rsidR="003774C0" w:rsidRPr="003774C0" w:rsidRDefault="003774C0" w:rsidP="003774C0">
            <w:pPr>
              <w:rPr>
                <w:i/>
              </w:rPr>
            </w:pPr>
          </w:p>
          <w:p w14:paraId="78877F79" w14:textId="77777777" w:rsidR="003774C0" w:rsidRPr="003774C0" w:rsidRDefault="003774C0" w:rsidP="003774C0">
            <w:pPr>
              <w:rPr>
                <w:i/>
              </w:rPr>
            </w:pPr>
            <w:r w:rsidRPr="003774C0">
              <w:rPr>
                <w:i/>
              </w:rPr>
              <w:t>If the recipient does not give you a written Notice of Final Action within 90 days of the day on which you filed your complaint, you may file a complaint with CRC before receiving that Notice. However, you must file your CRC complaint within 30 days of the 90-day deadline (in other words, within 120 days after the day on which you filed your complaint with the recipient).</w:t>
            </w:r>
          </w:p>
          <w:p w14:paraId="01323CFF" w14:textId="77777777" w:rsidR="003774C0" w:rsidRPr="003774C0" w:rsidRDefault="003774C0" w:rsidP="003774C0">
            <w:pPr>
              <w:rPr>
                <w:i/>
              </w:rPr>
            </w:pPr>
          </w:p>
          <w:p w14:paraId="015D78EE" w14:textId="7F5AB5CF" w:rsidR="003774C0" w:rsidRDefault="003774C0" w:rsidP="003774C0">
            <w:r w:rsidRPr="003774C0">
              <w:rPr>
                <w:i/>
              </w:rPr>
              <w:t>If the recipient does give you a written Notice of Final Action on your complaint, but you are dissatisfied with the decision or resolution, you may file a complaint with CRC. You must file your CRC complaint within 30 days of the date on which you received the Notice of Final Action.</w:t>
            </w:r>
          </w:p>
        </w:tc>
        <w:tc>
          <w:tcPr>
            <w:tcW w:w="990" w:type="dxa"/>
          </w:tcPr>
          <w:p w14:paraId="79F4EBE5" w14:textId="77777777" w:rsidR="009F4E15" w:rsidRDefault="009F4E15" w:rsidP="009F4E15">
            <w:r>
              <w:lastRenderedPageBreak/>
              <w:t>A, B</w:t>
            </w:r>
          </w:p>
        </w:tc>
      </w:tr>
      <w:tr w:rsidR="005F63EB" w14:paraId="546F9F5A" w14:textId="77777777" w:rsidTr="005F63EB">
        <w:tc>
          <w:tcPr>
            <w:tcW w:w="8545" w:type="dxa"/>
          </w:tcPr>
          <w:p w14:paraId="65F07480" w14:textId="77777777" w:rsidR="005F63EB" w:rsidRDefault="005F63EB" w:rsidP="00F8522F">
            <w:r>
              <w:t>Ensure Orientation to Discrimination Complaint form is part of each customer’s individual record</w:t>
            </w:r>
          </w:p>
        </w:tc>
        <w:tc>
          <w:tcPr>
            <w:tcW w:w="990" w:type="dxa"/>
          </w:tcPr>
          <w:p w14:paraId="54B23A33" w14:textId="77777777" w:rsidR="005F63EB" w:rsidRDefault="005F63EB" w:rsidP="00F8522F">
            <w:r>
              <w:t>A, B</w:t>
            </w:r>
          </w:p>
        </w:tc>
      </w:tr>
      <w:tr w:rsidR="001E14FE" w14:paraId="1E3D25FE" w14:textId="77777777" w:rsidTr="001E14FE">
        <w:tc>
          <w:tcPr>
            <w:tcW w:w="8545" w:type="dxa"/>
          </w:tcPr>
          <w:p w14:paraId="59411DF4" w14:textId="77777777" w:rsidR="001E14FE" w:rsidRDefault="001E14FE" w:rsidP="00F8522F">
            <w:r>
              <w:rPr>
                <w:rFonts w:eastAsia="Arial Unicode MS"/>
                <w:color w:val="000000"/>
                <w:spacing w:val="2"/>
              </w:rPr>
              <w:t>F</w:t>
            </w:r>
            <w:r w:rsidRPr="00032EA9">
              <w:rPr>
                <w:rFonts w:eastAsia="Arial Unicode MS"/>
                <w:color w:val="000000"/>
                <w:spacing w:val="2"/>
              </w:rPr>
              <w:t xml:space="preserve">ollow the steps outlined </w:t>
            </w:r>
            <w:r>
              <w:rPr>
                <w:rFonts w:eastAsia="Arial Unicode MS"/>
                <w:color w:val="000000"/>
                <w:spacing w:val="2"/>
              </w:rPr>
              <w:t xml:space="preserve">for </w:t>
            </w:r>
            <w:r w:rsidRPr="008A4319">
              <w:rPr>
                <w:rFonts w:eastAsia="Arial Unicode MS"/>
                <w:i/>
                <w:color w:val="000000"/>
                <w:spacing w:val="2"/>
              </w:rPr>
              <w:t>Complaint Processing</w:t>
            </w:r>
            <w:r w:rsidRPr="00032EA9">
              <w:rPr>
                <w:rFonts w:eastAsia="Arial Unicode MS"/>
                <w:color w:val="000000"/>
                <w:spacing w:val="2"/>
              </w:rPr>
              <w:t xml:space="preserve"> in </w:t>
            </w:r>
            <w:r>
              <w:rPr>
                <w:rFonts w:eastAsia="Arial Unicode MS"/>
                <w:color w:val="000000"/>
                <w:spacing w:val="2"/>
              </w:rPr>
              <w:t xml:space="preserve">the Equal Opportunity Standards and Guidelines </w:t>
            </w:r>
            <w:r w:rsidRPr="00032EA9">
              <w:rPr>
                <w:rFonts w:eastAsia="Arial Unicode MS"/>
                <w:color w:val="000000"/>
                <w:spacing w:val="2"/>
              </w:rPr>
              <w:t>for notifying customers of the complaint process, filing a complaint, and processing a complaint</w:t>
            </w:r>
          </w:p>
        </w:tc>
        <w:tc>
          <w:tcPr>
            <w:tcW w:w="990" w:type="dxa"/>
          </w:tcPr>
          <w:p w14:paraId="322706D0" w14:textId="77777777" w:rsidR="001E14FE" w:rsidRDefault="001E14FE" w:rsidP="00F8522F">
            <w:r>
              <w:t>A, B, C</w:t>
            </w:r>
          </w:p>
        </w:tc>
      </w:tr>
      <w:tr w:rsidR="007B3505" w14:paraId="2110A052" w14:textId="77777777" w:rsidTr="001E14FE">
        <w:tc>
          <w:tcPr>
            <w:tcW w:w="8545" w:type="dxa"/>
          </w:tcPr>
          <w:p w14:paraId="2AE73F3E" w14:textId="77777777" w:rsidR="007B3505" w:rsidRDefault="007B3505" w:rsidP="00F8522F">
            <w:pPr>
              <w:rPr>
                <w:rFonts w:eastAsia="Arial Unicode MS"/>
                <w:color w:val="000000"/>
                <w:spacing w:val="2"/>
              </w:rPr>
            </w:pPr>
            <w:r>
              <w:rPr>
                <w:rFonts w:eastAsia="Arial Unicode MS"/>
                <w:color w:val="000000"/>
                <w:spacing w:val="2"/>
              </w:rPr>
              <w:t>Maintain and submit Discrimination Complaint Log</w:t>
            </w:r>
          </w:p>
        </w:tc>
        <w:tc>
          <w:tcPr>
            <w:tcW w:w="990" w:type="dxa"/>
          </w:tcPr>
          <w:p w14:paraId="0471E952" w14:textId="77777777" w:rsidR="007B3505" w:rsidRDefault="007B3505" w:rsidP="00F8522F">
            <w:r>
              <w:t>B</w:t>
            </w:r>
          </w:p>
        </w:tc>
      </w:tr>
      <w:tr w:rsidR="007B3505" w14:paraId="129161A9" w14:textId="77777777" w:rsidTr="001E14FE">
        <w:tc>
          <w:tcPr>
            <w:tcW w:w="8545" w:type="dxa"/>
          </w:tcPr>
          <w:p w14:paraId="15E31FBE" w14:textId="77777777" w:rsidR="007B3505" w:rsidRDefault="007B3505" w:rsidP="00F8522F">
            <w:pPr>
              <w:rPr>
                <w:rFonts w:eastAsia="Arial Unicode MS"/>
                <w:color w:val="000000"/>
                <w:spacing w:val="2"/>
              </w:rPr>
            </w:pPr>
            <w:r>
              <w:rPr>
                <w:rFonts w:eastAsia="Arial Unicode MS"/>
                <w:color w:val="000000"/>
                <w:spacing w:val="2"/>
              </w:rPr>
              <w:t>Maintain records or complaints for at least 3 years after the resolution</w:t>
            </w:r>
          </w:p>
        </w:tc>
        <w:tc>
          <w:tcPr>
            <w:tcW w:w="990" w:type="dxa"/>
          </w:tcPr>
          <w:p w14:paraId="4545671B" w14:textId="77777777" w:rsidR="007B3505" w:rsidRDefault="007B3505" w:rsidP="00F8522F">
            <w:r>
              <w:t>B</w:t>
            </w:r>
          </w:p>
        </w:tc>
      </w:tr>
    </w:tbl>
    <w:p w14:paraId="6E5C449E" w14:textId="77777777" w:rsidR="009F4E15" w:rsidRDefault="009F4E15" w:rsidP="001152C8">
      <w:pPr>
        <w:spacing w:after="0"/>
        <w:rPr>
          <w:b/>
        </w:rPr>
      </w:pPr>
    </w:p>
    <w:p w14:paraId="64C15263" w14:textId="77777777" w:rsidR="009F4E15" w:rsidRDefault="009F4E15" w:rsidP="001152C8">
      <w:pPr>
        <w:spacing w:after="0"/>
        <w:rPr>
          <w:b/>
        </w:rPr>
      </w:pPr>
      <w:r>
        <w:rPr>
          <w:b/>
        </w:rPr>
        <w:t>Accommodations</w:t>
      </w:r>
    </w:p>
    <w:tbl>
      <w:tblPr>
        <w:tblStyle w:val="TableGrid"/>
        <w:tblW w:w="9535" w:type="dxa"/>
        <w:tblLook w:val="04A0" w:firstRow="1" w:lastRow="0" w:firstColumn="1" w:lastColumn="0" w:noHBand="0" w:noVBand="1"/>
      </w:tblPr>
      <w:tblGrid>
        <w:gridCol w:w="8545"/>
        <w:gridCol w:w="990"/>
      </w:tblGrid>
      <w:tr w:rsidR="009F4E15" w:rsidRPr="00856574" w14:paraId="6E9EDA72" w14:textId="77777777" w:rsidTr="00F8522F">
        <w:tc>
          <w:tcPr>
            <w:tcW w:w="8545" w:type="dxa"/>
            <w:shd w:val="clear" w:color="auto" w:fill="BFBFBF" w:themeFill="background1" w:themeFillShade="BF"/>
          </w:tcPr>
          <w:p w14:paraId="67829CDE" w14:textId="77777777" w:rsidR="009F4E15" w:rsidRPr="00856574" w:rsidRDefault="009F4E15" w:rsidP="00F8522F">
            <w:pPr>
              <w:jc w:val="center"/>
              <w:rPr>
                <w:b/>
              </w:rPr>
            </w:pPr>
            <w:r w:rsidRPr="00856574">
              <w:rPr>
                <w:b/>
              </w:rPr>
              <w:t>Requirement</w:t>
            </w:r>
          </w:p>
        </w:tc>
        <w:tc>
          <w:tcPr>
            <w:tcW w:w="990" w:type="dxa"/>
            <w:shd w:val="clear" w:color="auto" w:fill="BFBFBF" w:themeFill="background1" w:themeFillShade="BF"/>
          </w:tcPr>
          <w:p w14:paraId="18C8E8FC" w14:textId="77777777" w:rsidR="009F4E15" w:rsidRPr="00856574" w:rsidRDefault="009F4E15" w:rsidP="00F8522F">
            <w:pPr>
              <w:jc w:val="center"/>
              <w:rPr>
                <w:b/>
              </w:rPr>
            </w:pPr>
            <w:r w:rsidRPr="00856574">
              <w:rPr>
                <w:b/>
              </w:rPr>
              <w:t>Source</w:t>
            </w:r>
          </w:p>
        </w:tc>
      </w:tr>
      <w:tr w:rsidR="005F63EB" w14:paraId="759050ED" w14:textId="77777777" w:rsidTr="005F63EB">
        <w:tc>
          <w:tcPr>
            <w:tcW w:w="8545" w:type="dxa"/>
          </w:tcPr>
          <w:p w14:paraId="5F2F2B84" w14:textId="77777777" w:rsidR="005F63EB" w:rsidRDefault="005F63EB" w:rsidP="005F63EB">
            <w:r>
              <w:t>Invite customers and staff to self-identify</w:t>
            </w:r>
          </w:p>
        </w:tc>
        <w:tc>
          <w:tcPr>
            <w:tcW w:w="990" w:type="dxa"/>
          </w:tcPr>
          <w:p w14:paraId="2FA55A92" w14:textId="77777777" w:rsidR="005F63EB" w:rsidRDefault="005F63EB" w:rsidP="005F63EB">
            <w:r>
              <w:t>B</w:t>
            </w:r>
          </w:p>
        </w:tc>
      </w:tr>
      <w:tr w:rsidR="005F63EB" w14:paraId="7254283B" w14:textId="77777777" w:rsidTr="005F63EB">
        <w:tc>
          <w:tcPr>
            <w:tcW w:w="8545" w:type="dxa"/>
          </w:tcPr>
          <w:p w14:paraId="3C7D95A6" w14:textId="77777777" w:rsidR="005F63EB" w:rsidRDefault="005F63EB" w:rsidP="005F63EB">
            <w:r>
              <w:t>Maintain confidentiality; ensure medical and disability related information is stored in a separate and secure location with limited access</w:t>
            </w:r>
          </w:p>
        </w:tc>
        <w:tc>
          <w:tcPr>
            <w:tcW w:w="990" w:type="dxa"/>
          </w:tcPr>
          <w:p w14:paraId="38E2DD64" w14:textId="77777777" w:rsidR="005F63EB" w:rsidRDefault="005F63EB" w:rsidP="005F63EB">
            <w:r>
              <w:t>B, C</w:t>
            </w:r>
          </w:p>
        </w:tc>
      </w:tr>
      <w:tr w:rsidR="005F63EB" w14:paraId="52021370" w14:textId="77777777" w:rsidTr="005F63EB">
        <w:tc>
          <w:tcPr>
            <w:tcW w:w="8545" w:type="dxa"/>
          </w:tcPr>
          <w:p w14:paraId="219856A6" w14:textId="77777777" w:rsidR="005F63EB" w:rsidRDefault="005F63EB" w:rsidP="005F63EB">
            <w:r>
              <w:t>Provide reasonable accommodations or modifications, including testing accommodations, as needed for customers and employees at no charge.</w:t>
            </w:r>
          </w:p>
        </w:tc>
        <w:tc>
          <w:tcPr>
            <w:tcW w:w="990" w:type="dxa"/>
          </w:tcPr>
          <w:p w14:paraId="6C40D17A" w14:textId="77777777" w:rsidR="005F63EB" w:rsidRDefault="005F63EB" w:rsidP="005F63EB">
            <w:r>
              <w:t>B</w:t>
            </w:r>
          </w:p>
          <w:p w14:paraId="0DB137D9" w14:textId="77777777" w:rsidR="005F63EB" w:rsidRDefault="005F63EB" w:rsidP="005F63EB"/>
          <w:p w14:paraId="62B8437E" w14:textId="77777777" w:rsidR="005F63EB" w:rsidRDefault="005F63EB" w:rsidP="005F63EB"/>
        </w:tc>
      </w:tr>
    </w:tbl>
    <w:p w14:paraId="34B08149" w14:textId="77777777" w:rsidR="009F4E15" w:rsidRDefault="009F4E15" w:rsidP="001152C8">
      <w:pPr>
        <w:spacing w:after="0"/>
        <w:rPr>
          <w:b/>
        </w:rPr>
      </w:pPr>
    </w:p>
    <w:p w14:paraId="364DB7ED" w14:textId="77777777" w:rsidR="00842D93" w:rsidRDefault="00842D93" w:rsidP="001152C8">
      <w:pPr>
        <w:spacing w:after="0"/>
        <w:rPr>
          <w:b/>
        </w:rPr>
      </w:pPr>
    </w:p>
    <w:p w14:paraId="31943032" w14:textId="77777777" w:rsidR="00842D93" w:rsidRDefault="00842D93" w:rsidP="001152C8">
      <w:pPr>
        <w:spacing w:after="0"/>
        <w:rPr>
          <w:b/>
        </w:rPr>
      </w:pPr>
    </w:p>
    <w:p w14:paraId="174B4E14" w14:textId="77777777" w:rsidR="00842D93" w:rsidRDefault="00842D93" w:rsidP="001152C8">
      <w:pPr>
        <w:spacing w:after="0"/>
        <w:rPr>
          <w:b/>
        </w:rPr>
      </w:pPr>
    </w:p>
    <w:p w14:paraId="725C9FF0" w14:textId="1D09AD55" w:rsidR="009F4E15" w:rsidRDefault="009F4E15" w:rsidP="001152C8">
      <w:pPr>
        <w:spacing w:after="0"/>
        <w:rPr>
          <w:b/>
        </w:rPr>
      </w:pPr>
      <w:r>
        <w:rPr>
          <w:b/>
        </w:rPr>
        <w:lastRenderedPageBreak/>
        <w:t>Monitoring</w:t>
      </w:r>
    </w:p>
    <w:tbl>
      <w:tblPr>
        <w:tblStyle w:val="TableGrid"/>
        <w:tblW w:w="9535" w:type="dxa"/>
        <w:tblLook w:val="04A0" w:firstRow="1" w:lastRow="0" w:firstColumn="1" w:lastColumn="0" w:noHBand="0" w:noVBand="1"/>
      </w:tblPr>
      <w:tblGrid>
        <w:gridCol w:w="8545"/>
        <w:gridCol w:w="990"/>
      </w:tblGrid>
      <w:tr w:rsidR="009F4E15" w:rsidRPr="00856574" w14:paraId="6F103C31" w14:textId="77777777" w:rsidTr="009F4E15">
        <w:tc>
          <w:tcPr>
            <w:tcW w:w="8545" w:type="dxa"/>
            <w:shd w:val="clear" w:color="auto" w:fill="BFBFBF" w:themeFill="background1" w:themeFillShade="BF"/>
          </w:tcPr>
          <w:p w14:paraId="6670B2E5" w14:textId="77777777" w:rsidR="009F4E15" w:rsidRPr="00856574" w:rsidRDefault="009F4E15" w:rsidP="00F8522F">
            <w:pPr>
              <w:jc w:val="center"/>
              <w:rPr>
                <w:b/>
              </w:rPr>
            </w:pPr>
            <w:r w:rsidRPr="00856574">
              <w:rPr>
                <w:b/>
              </w:rPr>
              <w:t>Requirement</w:t>
            </w:r>
          </w:p>
        </w:tc>
        <w:tc>
          <w:tcPr>
            <w:tcW w:w="990" w:type="dxa"/>
            <w:shd w:val="clear" w:color="auto" w:fill="BFBFBF" w:themeFill="background1" w:themeFillShade="BF"/>
          </w:tcPr>
          <w:p w14:paraId="0C8BED03" w14:textId="77777777" w:rsidR="009F4E15" w:rsidRPr="00856574" w:rsidRDefault="009F4E15" w:rsidP="00F8522F">
            <w:pPr>
              <w:jc w:val="center"/>
              <w:rPr>
                <w:b/>
              </w:rPr>
            </w:pPr>
            <w:r w:rsidRPr="00856574">
              <w:rPr>
                <w:b/>
              </w:rPr>
              <w:t>Source</w:t>
            </w:r>
          </w:p>
        </w:tc>
      </w:tr>
      <w:tr w:rsidR="009F4E15" w14:paraId="4F43882E" w14:textId="77777777" w:rsidTr="00F8522F">
        <w:tc>
          <w:tcPr>
            <w:tcW w:w="8545" w:type="dxa"/>
          </w:tcPr>
          <w:p w14:paraId="5CE2152A" w14:textId="77777777" w:rsidR="009F4E15" w:rsidRDefault="009F4E15" w:rsidP="009F4E15">
            <w:r>
              <w:t>Cooperate with scheduling for equal opportunity and accessibility monitoring reviews</w:t>
            </w:r>
          </w:p>
        </w:tc>
        <w:tc>
          <w:tcPr>
            <w:tcW w:w="990" w:type="dxa"/>
          </w:tcPr>
          <w:p w14:paraId="6852E5B7" w14:textId="77777777" w:rsidR="009F4E15" w:rsidRDefault="009F4E15" w:rsidP="009F4E15">
            <w:r>
              <w:t>A, C</w:t>
            </w:r>
          </w:p>
        </w:tc>
      </w:tr>
      <w:tr w:rsidR="009F4E15" w14:paraId="2E5F1DFA" w14:textId="77777777" w:rsidTr="00F8522F">
        <w:tc>
          <w:tcPr>
            <w:tcW w:w="8545" w:type="dxa"/>
          </w:tcPr>
          <w:p w14:paraId="6CCC195C" w14:textId="77777777" w:rsidR="009F4E15" w:rsidRDefault="009F4E15" w:rsidP="009F4E15">
            <w:r>
              <w:t>R</w:t>
            </w:r>
            <w:r w:rsidRPr="008A54B4">
              <w:t xml:space="preserve">esolve </w:t>
            </w:r>
            <w:r>
              <w:t>audit</w:t>
            </w:r>
            <w:r w:rsidRPr="008A54B4">
              <w:t xml:space="preserve"> findings and correct problems promptly within the requested time</w:t>
            </w:r>
            <w:r>
              <w:t xml:space="preserve"> </w:t>
            </w:r>
            <w:r w:rsidRPr="008A54B4">
              <w:t>frame</w:t>
            </w:r>
            <w:r>
              <w:t>. Responses must describe plans for corrective action with a timetable for accomplishing the changes and the staff person and position responsible for carrying out this action.</w:t>
            </w:r>
          </w:p>
        </w:tc>
        <w:tc>
          <w:tcPr>
            <w:tcW w:w="990" w:type="dxa"/>
          </w:tcPr>
          <w:p w14:paraId="6CF5D7A7" w14:textId="77777777" w:rsidR="009F4E15" w:rsidRDefault="009F4E15" w:rsidP="009F4E15">
            <w:r>
              <w:t>A, B, C</w:t>
            </w:r>
          </w:p>
        </w:tc>
      </w:tr>
      <w:tr w:rsidR="005F63EB" w14:paraId="32123C4E" w14:textId="77777777" w:rsidTr="005F63EB">
        <w:tc>
          <w:tcPr>
            <w:tcW w:w="8545" w:type="dxa"/>
          </w:tcPr>
          <w:p w14:paraId="120DC07D" w14:textId="77777777" w:rsidR="005F63EB" w:rsidRDefault="005F63EB" w:rsidP="00F8522F">
            <w:r>
              <w:t>Receive approval for c</w:t>
            </w:r>
            <w:r w:rsidRPr="00DA6AA3">
              <w:t xml:space="preserve">orrective actions </w:t>
            </w:r>
            <w:r>
              <w:t>from Senior Equal Opportunity Officer and contract liaison</w:t>
            </w:r>
            <w:r w:rsidRPr="00DA6AA3">
              <w:t xml:space="preserve"> prior to implementation or purchase</w:t>
            </w:r>
          </w:p>
        </w:tc>
        <w:tc>
          <w:tcPr>
            <w:tcW w:w="990" w:type="dxa"/>
          </w:tcPr>
          <w:p w14:paraId="349E2585" w14:textId="77777777" w:rsidR="005F63EB" w:rsidRDefault="005F63EB" w:rsidP="00F8522F">
            <w:r>
              <w:t>C</w:t>
            </w:r>
          </w:p>
        </w:tc>
      </w:tr>
    </w:tbl>
    <w:p w14:paraId="00A03FC7" w14:textId="77777777" w:rsidR="009F4E15" w:rsidRDefault="009F4E15" w:rsidP="001152C8">
      <w:pPr>
        <w:spacing w:after="0"/>
        <w:rPr>
          <w:b/>
        </w:rPr>
      </w:pPr>
    </w:p>
    <w:p w14:paraId="13ACC1E7" w14:textId="204C128C" w:rsidR="005F63EB" w:rsidRDefault="005F63EB" w:rsidP="003774C0">
      <w:pPr>
        <w:rPr>
          <w:b/>
        </w:rPr>
      </w:pPr>
      <w:r>
        <w:rPr>
          <w:b/>
        </w:rPr>
        <w:t>Auxiliary Aids</w:t>
      </w:r>
    </w:p>
    <w:tbl>
      <w:tblPr>
        <w:tblStyle w:val="TableGrid"/>
        <w:tblW w:w="9535" w:type="dxa"/>
        <w:tblLook w:val="04A0" w:firstRow="1" w:lastRow="0" w:firstColumn="1" w:lastColumn="0" w:noHBand="0" w:noVBand="1"/>
      </w:tblPr>
      <w:tblGrid>
        <w:gridCol w:w="8545"/>
        <w:gridCol w:w="990"/>
      </w:tblGrid>
      <w:tr w:rsidR="005F63EB" w:rsidRPr="00856574" w14:paraId="407321D2" w14:textId="77777777" w:rsidTr="00F8522F">
        <w:tc>
          <w:tcPr>
            <w:tcW w:w="8545" w:type="dxa"/>
            <w:shd w:val="clear" w:color="auto" w:fill="BFBFBF" w:themeFill="background1" w:themeFillShade="BF"/>
          </w:tcPr>
          <w:p w14:paraId="6597715A" w14:textId="77777777" w:rsidR="005F63EB" w:rsidRPr="00856574" w:rsidRDefault="005F63EB" w:rsidP="00F8522F">
            <w:pPr>
              <w:jc w:val="center"/>
              <w:rPr>
                <w:b/>
              </w:rPr>
            </w:pPr>
            <w:r w:rsidRPr="00856574">
              <w:rPr>
                <w:b/>
              </w:rPr>
              <w:t>Requirement</w:t>
            </w:r>
          </w:p>
        </w:tc>
        <w:tc>
          <w:tcPr>
            <w:tcW w:w="990" w:type="dxa"/>
            <w:shd w:val="clear" w:color="auto" w:fill="BFBFBF" w:themeFill="background1" w:themeFillShade="BF"/>
          </w:tcPr>
          <w:p w14:paraId="7DE47540" w14:textId="77777777" w:rsidR="005F63EB" w:rsidRPr="00856574" w:rsidRDefault="005F63EB" w:rsidP="00F8522F">
            <w:pPr>
              <w:jc w:val="center"/>
              <w:rPr>
                <w:b/>
              </w:rPr>
            </w:pPr>
            <w:r w:rsidRPr="00856574">
              <w:rPr>
                <w:b/>
              </w:rPr>
              <w:t>Source</w:t>
            </w:r>
          </w:p>
        </w:tc>
      </w:tr>
      <w:tr w:rsidR="005F63EB" w14:paraId="722B1A86" w14:textId="77777777" w:rsidTr="005F63EB">
        <w:tc>
          <w:tcPr>
            <w:tcW w:w="8545" w:type="dxa"/>
          </w:tcPr>
          <w:p w14:paraId="1BE53BA6" w14:textId="77777777" w:rsidR="005F63EB" w:rsidRDefault="005F63EB" w:rsidP="00F8522F">
            <w:r>
              <w:t>P</w:t>
            </w:r>
            <w:r w:rsidRPr="00272D96">
              <w:t>urchas</w:t>
            </w:r>
            <w:r>
              <w:t>e</w:t>
            </w:r>
            <w:r w:rsidRPr="00272D96">
              <w:t xml:space="preserve"> and maintain </w:t>
            </w:r>
            <w:r>
              <w:t>assistive technology and auxiliary aids that</w:t>
            </w:r>
            <w:r w:rsidRPr="00272D96">
              <w:t xml:space="preserve"> meet </w:t>
            </w:r>
            <w:r>
              <w:t xml:space="preserve">established minimum accessibility </w:t>
            </w:r>
            <w:r w:rsidRPr="00272D96">
              <w:t xml:space="preserve">requirements </w:t>
            </w:r>
            <w:r>
              <w:t>for each career office</w:t>
            </w:r>
          </w:p>
        </w:tc>
        <w:tc>
          <w:tcPr>
            <w:tcW w:w="990" w:type="dxa"/>
          </w:tcPr>
          <w:p w14:paraId="442E1849" w14:textId="77777777" w:rsidR="005F63EB" w:rsidRDefault="005F63EB" w:rsidP="00F8522F">
            <w:r>
              <w:t>A</w:t>
            </w:r>
          </w:p>
          <w:p w14:paraId="37667F36" w14:textId="77777777" w:rsidR="005F63EB" w:rsidRDefault="005F63EB" w:rsidP="00F8522F"/>
        </w:tc>
      </w:tr>
      <w:tr w:rsidR="005F63EB" w14:paraId="1C974A42" w14:textId="77777777" w:rsidTr="005F63EB">
        <w:tc>
          <w:tcPr>
            <w:tcW w:w="8545" w:type="dxa"/>
          </w:tcPr>
          <w:p w14:paraId="7AA573B2" w14:textId="77777777" w:rsidR="005F63EB" w:rsidRDefault="005F63EB" w:rsidP="00F8522F">
            <w:r>
              <w:t>Ensure staff are trained and able to demonstrate how to use all available assistive technology and auxiliary aids</w:t>
            </w:r>
          </w:p>
        </w:tc>
        <w:tc>
          <w:tcPr>
            <w:tcW w:w="990" w:type="dxa"/>
          </w:tcPr>
          <w:p w14:paraId="38547EF5" w14:textId="77777777" w:rsidR="005F63EB" w:rsidRDefault="005F63EB" w:rsidP="00F8522F">
            <w:r>
              <w:t>B, C</w:t>
            </w:r>
          </w:p>
        </w:tc>
      </w:tr>
    </w:tbl>
    <w:p w14:paraId="730883DD" w14:textId="77777777" w:rsidR="005F63EB" w:rsidRDefault="005F63EB" w:rsidP="001152C8">
      <w:pPr>
        <w:spacing w:after="0"/>
        <w:rPr>
          <w:b/>
        </w:rPr>
      </w:pPr>
    </w:p>
    <w:p w14:paraId="28B7B6D7" w14:textId="77777777" w:rsidR="009F4E15" w:rsidRDefault="009F4E15" w:rsidP="001152C8">
      <w:pPr>
        <w:spacing w:after="0"/>
        <w:rPr>
          <w:b/>
        </w:rPr>
      </w:pPr>
      <w:r>
        <w:rPr>
          <w:b/>
        </w:rPr>
        <w:t>Demographics</w:t>
      </w:r>
    </w:p>
    <w:tbl>
      <w:tblPr>
        <w:tblStyle w:val="TableGrid"/>
        <w:tblW w:w="9535" w:type="dxa"/>
        <w:tblLook w:val="04A0" w:firstRow="1" w:lastRow="0" w:firstColumn="1" w:lastColumn="0" w:noHBand="0" w:noVBand="1"/>
      </w:tblPr>
      <w:tblGrid>
        <w:gridCol w:w="8545"/>
        <w:gridCol w:w="990"/>
      </w:tblGrid>
      <w:tr w:rsidR="009F4E15" w:rsidRPr="00856574" w14:paraId="43387C95" w14:textId="77777777" w:rsidTr="00F8522F">
        <w:tc>
          <w:tcPr>
            <w:tcW w:w="8545" w:type="dxa"/>
            <w:shd w:val="clear" w:color="auto" w:fill="BFBFBF" w:themeFill="background1" w:themeFillShade="BF"/>
          </w:tcPr>
          <w:p w14:paraId="2AEE0BD5" w14:textId="77777777" w:rsidR="009F4E15" w:rsidRPr="00856574" w:rsidRDefault="009F4E15" w:rsidP="00F8522F">
            <w:pPr>
              <w:jc w:val="center"/>
              <w:rPr>
                <w:b/>
              </w:rPr>
            </w:pPr>
            <w:r w:rsidRPr="00856574">
              <w:rPr>
                <w:b/>
              </w:rPr>
              <w:t>Requirement</w:t>
            </w:r>
          </w:p>
        </w:tc>
        <w:tc>
          <w:tcPr>
            <w:tcW w:w="990" w:type="dxa"/>
            <w:shd w:val="clear" w:color="auto" w:fill="BFBFBF" w:themeFill="background1" w:themeFillShade="BF"/>
          </w:tcPr>
          <w:p w14:paraId="0948A6ED" w14:textId="77777777" w:rsidR="009F4E15" w:rsidRPr="00856574" w:rsidRDefault="009F4E15" w:rsidP="00F8522F">
            <w:pPr>
              <w:jc w:val="center"/>
              <w:rPr>
                <w:b/>
              </w:rPr>
            </w:pPr>
            <w:r w:rsidRPr="00856574">
              <w:rPr>
                <w:b/>
              </w:rPr>
              <w:t>Source</w:t>
            </w:r>
          </w:p>
        </w:tc>
      </w:tr>
      <w:tr w:rsidR="009F4E15" w14:paraId="3F061724" w14:textId="77777777" w:rsidTr="009F4E15">
        <w:tc>
          <w:tcPr>
            <w:tcW w:w="8545" w:type="dxa"/>
          </w:tcPr>
          <w:p w14:paraId="69103997" w14:textId="77777777" w:rsidR="009F4E15" w:rsidRDefault="009F4E15" w:rsidP="009F4E15">
            <w:r>
              <w:t>Track and analyze demographics of customers served by sex, ethnicity/race, age and disability status to ensure service accessibility</w:t>
            </w:r>
          </w:p>
        </w:tc>
        <w:tc>
          <w:tcPr>
            <w:tcW w:w="990" w:type="dxa"/>
          </w:tcPr>
          <w:p w14:paraId="2E7E516A" w14:textId="77777777" w:rsidR="009F4E15" w:rsidRDefault="009F4E15" w:rsidP="00F8522F">
            <w:r>
              <w:t>C</w:t>
            </w:r>
          </w:p>
        </w:tc>
      </w:tr>
      <w:tr w:rsidR="009F4E15" w14:paraId="00847112" w14:textId="77777777" w:rsidTr="009F4E15">
        <w:tc>
          <w:tcPr>
            <w:tcW w:w="8545" w:type="dxa"/>
          </w:tcPr>
          <w:p w14:paraId="67B28C6E" w14:textId="77777777" w:rsidR="009F4E15" w:rsidRDefault="009F4E15" w:rsidP="009F4E15">
            <w:r>
              <w:t>Track and analyze demographics of applicants and employees by sex, ethnicity/race, age and disability status to ensure hiring practices are not discriminatory</w:t>
            </w:r>
          </w:p>
        </w:tc>
        <w:tc>
          <w:tcPr>
            <w:tcW w:w="990" w:type="dxa"/>
          </w:tcPr>
          <w:p w14:paraId="47C23552" w14:textId="77777777" w:rsidR="009F4E15" w:rsidRDefault="009F4E15" w:rsidP="00F8522F">
            <w:r>
              <w:t>C</w:t>
            </w:r>
          </w:p>
        </w:tc>
      </w:tr>
      <w:tr w:rsidR="007B3505" w14:paraId="67900804" w14:textId="77777777" w:rsidTr="007B3505">
        <w:tc>
          <w:tcPr>
            <w:tcW w:w="8545" w:type="dxa"/>
          </w:tcPr>
          <w:p w14:paraId="73F270B0" w14:textId="77777777" w:rsidR="007B3505" w:rsidRDefault="007B3505" w:rsidP="007B3505">
            <w:r>
              <w:t>Maintain confidentiality; ensure data is used only for record keeping, reporting, determining eligibility, and determining program compliance with nondiscrimination requirements</w:t>
            </w:r>
          </w:p>
        </w:tc>
        <w:tc>
          <w:tcPr>
            <w:tcW w:w="990" w:type="dxa"/>
          </w:tcPr>
          <w:p w14:paraId="36DA1623" w14:textId="77777777" w:rsidR="007B3505" w:rsidRDefault="007B3505" w:rsidP="00F8522F">
            <w:r>
              <w:t>D</w:t>
            </w:r>
          </w:p>
        </w:tc>
      </w:tr>
    </w:tbl>
    <w:p w14:paraId="1B907059" w14:textId="77777777" w:rsidR="009F4E15" w:rsidRDefault="009F4E15" w:rsidP="001152C8">
      <w:pPr>
        <w:spacing w:after="0"/>
        <w:rPr>
          <w:b/>
        </w:rPr>
      </w:pPr>
    </w:p>
    <w:p w14:paraId="0F32D995" w14:textId="77777777" w:rsidR="001E14FE" w:rsidRDefault="001E14FE" w:rsidP="001E14FE">
      <w:pPr>
        <w:spacing w:after="0"/>
        <w:rPr>
          <w:b/>
        </w:rPr>
      </w:pPr>
      <w:r>
        <w:rPr>
          <w:b/>
        </w:rPr>
        <w:t>Human Resources</w:t>
      </w:r>
    </w:p>
    <w:tbl>
      <w:tblPr>
        <w:tblStyle w:val="TableGrid"/>
        <w:tblW w:w="9535" w:type="dxa"/>
        <w:tblLook w:val="04A0" w:firstRow="1" w:lastRow="0" w:firstColumn="1" w:lastColumn="0" w:noHBand="0" w:noVBand="1"/>
      </w:tblPr>
      <w:tblGrid>
        <w:gridCol w:w="8545"/>
        <w:gridCol w:w="990"/>
      </w:tblGrid>
      <w:tr w:rsidR="001E14FE" w:rsidRPr="00856574" w14:paraId="13566A9E" w14:textId="77777777" w:rsidTr="00F8522F">
        <w:tc>
          <w:tcPr>
            <w:tcW w:w="8545" w:type="dxa"/>
            <w:shd w:val="clear" w:color="auto" w:fill="BFBFBF" w:themeFill="background1" w:themeFillShade="BF"/>
          </w:tcPr>
          <w:p w14:paraId="2CD1D50A" w14:textId="77777777" w:rsidR="001E14FE" w:rsidRPr="00856574" w:rsidRDefault="001E14FE" w:rsidP="00F8522F">
            <w:pPr>
              <w:jc w:val="center"/>
              <w:rPr>
                <w:b/>
              </w:rPr>
            </w:pPr>
            <w:r w:rsidRPr="00856574">
              <w:rPr>
                <w:b/>
              </w:rPr>
              <w:t>Requirement</w:t>
            </w:r>
          </w:p>
        </w:tc>
        <w:tc>
          <w:tcPr>
            <w:tcW w:w="990" w:type="dxa"/>
            <w:shd w:val="clear" w:color="auto" w:fill="BFBFBF" w:themeFill="background1" w:themeFillShade="BF"/>
          </w:tcPr>
          <w:p w14:paraId="08E6A50C" w14:textId="77777777" w:rsidR="001E14FE" w:rsidRPr="00856574" w:rsidRDefault="001E14FE" w:rsidP="00F8522F">
            <w:pPr>
              <w:jc w:val="center"/>
              <w:rPr>
                <w:b/>
              </w:rPr>
            </w:pPr>
            <w:r w:rsidRPr="00856574">
              <w:rPr>
                <w:b/>
              </w:rPr>
              <w:t>Source</w:t>
            </w:r>
          </w:p>
        </w:tc>
      </w:tr>
      <w:tr w:rsidR="001E14FE" w14:paraId="35A89F1A" w14:textId="77777777" w:rsidTr="001E14FE">
        <w:tc>
          <w:tcPr>
            <w:tcW w:w="8545" w:type="dxa"/>
          </w:tcPr>
          <w:p w14:paraId="7544FE25" w14:textId="77777777" w:rsidR="001E14FE" w:rsidRDefault="001E14FE" w:rsidP="00F8522F">
            <w:r>
              <w:t>Conduct annual reviews of job qualifications and job descriptions to ensure they are not discriminatory and submit summary to Senior EO Officer</w:t>
            </w:r>
          </w:p>
        </w:tc>
        <w:tc>
          <w:tcPr>
            <w:tcW w:w="990" w:type="dxa"/>
          </w:tcPr>
          <w:p w14:paraId="72D6CDF8" w14:textId="77777777" w:rsidR="001E14FE" w:rsidRDefault="001E14FE" w:rsidP="00F8522F">
            <w:r>
              <w:t>A, C</w:t>
            </w:r>
          </w:p>
        </w:tc>
      </w:tr>
      <w:tr w:rsidR="001E14FE" w14:paraId="7F44AA9E" w14:textId="77777777" w:rsidTr="001E14FE">
        <w:tc>
          <w:tcPr>
            <w:tcW w:w="8545" w:type="dxa"/>
          </w:tcPr>
          <w:p w14:paraId="20EC739A" w14:textId="6F880A88" w:rsidR="00E84E82" w:rsidRPr="00E84E82" w:rsidRDefault="007E17CA" w:rsidP="00E84E82">
            <w:pPr>
              <w:rPr>
                <w:i/>
              </w:rPr>
            </w:pPr>
            <w:r>
              <w:t xml:space="preserve">Include </w:t>
            </w:r>
            <w:r w:rsidR="00E84E82">
              <w:t xml:space="preserve">in the employee handbook, </w:t>
            </w:r>
            <w:r w:rsidR="001E14FE">
              <w:t xml:space="preserve">a written nondiscrimination and EO policy that contains the exact wording from </w:t>
            </w:r>
            <w:r w:rsidR="001E14FE" w:rsidRPr="001E14FE">
              <w:t>29 CFR 38.35</w:t>
            </w:r>
            <w:r>
              <w:t xml:space="preserve">, </w:t>
            </w:r>
            <w:r w:rsidR="00E84E82">
              <w:t xml:space="preserve">stating the employer will not discriminate </w:t>
            </w:r>
            <w:r w:rsidR="00E84E82" w:rsidRPr="00E84E82">
              <w:rPr>
                <w:i/>
              </w:rPr>
              <w:t>on the basis of 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I of the Workforce Innovation and Opportunity Act, on the basis of the individual's citizenship status or participation in any WIOA Title I-financially assisted program or activity</w:t>
            </w:r>
          </w:p>
        </w:tc>
        <w:tc>
          <w:tcPr>
            <w:tcW w:w="990" w:type="dxa"/>
          </w:tcPr>
          <w:p w14:paraId="2A1B958A" w14:textId="77777777" w:rsidR="001E14FE" w:rsidRDefault="001E14FE" w:rsidP="00F8522F">
            <w:r>
              <w:t>D</w:t>
            </w:r>
          </w:p>
        </w:tc>
      </w:tr>
      <w:tr w:rsidR="001E14FE" w14:paraId="3050F4ED" w14:textId="77777777" w:rsidTr="001E14FE">
        <w:tc>
          <w:tcPr>
            <w:tcW w:w="8545" w:type="dxa"/>
          </w:tcPr>
          <w:p w14:paraId="0852674A" w14:textId="77777777" w:rsidR="001E14FE" w:rsidRDefault="007E17CA" w:rsidP="00F8522F">
            <w:r w:rsidRPr="007E17CA">
              <w:t>Have a written nondiscrimination and EO policy that</w:t>
            </w:r>
            <w:r>
              <w:t xml:space="preserve"> prohibits retaliation or reprisal</w:t>
            </w:r>
          </w:p>
        </w:tc>
        <w:tc>
          <w:tcPr>
            <w:tcW w:w="990" w:type="dxa"/>
          </w:tcPr>
          <w:p w14:paraId="5C5126F9" w14:textId="77777777" w:rsidR="001E14FE" w:rsidRDefault="007E17CA" w:rsidP="00F8522F">
            <w:r>
              <w:t>D</w:t>
            </w:r>
          </w:p>
        </w:tc>
      </w:tr>
    </w:tbl>
    <w:p w14:paraId="2CD0F31A" w14:textId="77777777" w:rsidR="001E14FE" w:rsidRDefault="001E14FE" w:rsidP="009F4E15">
      <w:pPr>
        <w:spacing w:after="0"/>
        <w:rPr>
          <w:b/>
        </w:rPr>
      </w:pPr>
    </w:p>
    <w:p w14:paraId="5A52636F" w14:textId="77777777" w:rsidR="00842D93" w:rsidRDefault="00842D93" w:rsidP="009F4E15">
      <w:pPr>
        <w:spacing w:after="0"/>
        <w:rPr>
          <w:b/>
        </w:rPr>
      </w:pPr>
    </w:p>
    <w:p w14:paraId="71C3CF3C" w14:textId="77777777" w:rsidR="00842D93" w:rsidRDefault="00842D93" w:rsidP="009F4E15">
      <w:pPr>
        <w:spacing w:after="0"/>
        <w:rPr>
          <w:b/>
        </w:rPr>
      </w:pPr>
    </w:p>
    <w:p w14:paraId="670AFF77" w14:textId="25BD7F27" w:rsidR="009F4E15" w:rsidRDefault="009F4E15" w:rsidP="009F4E15">
      <w:pPr>
        <w:spacing w:after="0"/>
        <w:rPr>
          <w:b/>
        </w:rPr>
      </w:pPr>
      <w:r>
        <w:rPr>
          <w:b/>
        </w:rPr>
        <w:lastRenderedPageBreak/>
        <w:t>Facilities</w:t>
      </w:r>
    </w:p>
    <w:tbl>
      <w:tblPr>
        <w:tblStyle w:val="TableGrid"/>
        <w:tblW w:w="9535" w:type="dxa"/>
        <w:tblLook w:val="04A0" w:firstRow="1" w:lastRow="0" w:firstColumn="1" w:lastColumn="0" w:noHBand="0" w:noVBand="1"/>
      </w:tblPr>
      <w:tblGrid>
        <w:gridCol w:w="8545"/>
        <w:gridCol w:w="990"/>
      </w:tblGrid>
      <w:tr w:rsidR="009F4E15" w:rsidRPr="00856574" w14:paraId="6457E093" w14:textId="77777777" w:rsidTr="00F8522F">
        <w:tc>
          <w:tcPr>
            <w:tcW w:w="8545" w:type="dxa"/>
            <w:shd w:val="clear" w:color="auto" w:fill="BFBFBF" w:themeFill="background1" w:themeFillShade="BF"/>
          </w:tcPr>
          <w:p w14:paraId="2BF75BF6" w14:textId="77777777" w:rsidR="009F4E15" w:rsidRPr="00856574" w:rsidRDefault="009F4E15" w:rsidP="00F8522F">
            <w:pPr>
              <w:jc w:val="center"/>
              <w:rPr>
                <w:b/>
              </w:rPr>
            </w:pPr>
            <w:r w:rsidRPr="00856574">
              <w:rPr>
                <w:b/>
              </w:rPr>
              <w:t>Requirement</w:t>
            </w:r>
          </w:p>
        </w:tc>
        <w:tc>
          <w:tcPr>
            <w:tcW w:w="990" w:type="dxa"/>
            <w:shd w:val="clear" w:color="auto" w:fill="BFBFBF" w:themeFill="background1" w:themeFillShade="BF"/>
          </w:tcPr>
          <w:p w14:paraId="4B8FBD24" w14:textId="77777777" w:rsidR="009F4E15" w:rsidRPr="00856574" w:rsidRDefault="009F4E15" w:rsidP="00F8522F">
            <w:pPr>
              <w:jc w:val="center"/>
              <w:rPr>
                <w:b/>
              </w:rPr>
            </w:pPr>
            <w:r w:rsidRPr="00856574">
              <w:rPr>
                <w:b/>
              </w:rPr>
              <w:t>Source</w:t>
            </w:r>
          </w:p>
        </w:tc>
      </w:tr>
      <w:tr w:rsidR="009F4E15" w14:paraId="5BB5C08A" w14:textId="77777777" w:rsidTr="009F4E15">
        <w:tc>
          <w:tcPr>
            <w:tcW w:w="8545" w:type="dxa"/>
          </w:tcPr>
          <w:p w14:paraId="1A4F40B8" w14:textId="77777777" w:rsidR="009F4E15" w:rsidRDefault="009F4E15" w:rsidP="00F8522F">
            <w:r>
              <w:t>S</w:t>
            </w:r>
            <w:r w:rsidRPr="00272D96">
              <w:t xml:space="preserve">ubmit a proposal to move an office to contract liaison </w:t>
            </w:r>
            <w:r>
              <w:t xml:space="preserve">and Senior Equal Opportunity Officer </w:t>
            </w:r>
            <w:r w:rsidRPr="00272D96">
              <w:t xml:space="preserve">at least 120 days prior to the planned move date. </w:t>
            </w:r>
            <w:r>
              <w:t>An equal opportunity physical accessibility review must be completed to ensure the facilities are ADA compliant before a lease is signed on a new location</w:t>
            </w:r>
          </w:p>
        </w:tc>
        <w:tc>
          <w:tcPr>
            <w:tcW w:w="990" w:type="dxa"/>
          </w:tcPr>
          <w:p w14:paraId="6D729A19" w14:textId="77777777" w:rsidR="009F4E15" w:rsidRDefault="009F4E15" w:rsidP="00F8522F">
            <w:r>
              <w:t>A</w:t>
            </w:r>
          </w:p>
          <w:p w14:paraId="608EA751" w14:textId="77777777" w:rsidR="009F4E15" w:rsidRDefault="009F4E15" w:rsidP="00F8522F"/>
        </w:tc>
      </w:tr>
      <w:tr w:rsidR="009F4E15" w14:paraId="18D026A1" w14:textId="77777777" w:rsidTr="001152C8">
        <w:tc>
          <w:tcPr>
            <w:tcW w:w="8545" w:type="dxa"/>
          </w:tcPr>
          <w:p w14:paraId="66A86079" w14:textId="77777777" w:rsidR="009F4E15" w:rsidRDefault="009F4E15" w:rsidP="009F4E15">
            <w:r>
              <w:t>Ensure all facilities where staff are housed and/or customers are served, are architecturally barrier free and meet physical accessibility requirements</w:t>
            </w:r>
          </w:p>
        </w:tc>
        <w:tc>
          <w:tcPr>
            <w:tcW w:w="990" w:type="dxa"/>
          </w:tcPr>
          <w:p w14:paraId="6489E2D6" w14:textId="77777777" w:rsidR="009F4E15" w:rsidRDefault="009F4E15" w:rsidP="009F4E15">
            <w:r>
              <w:t>A, B, C</w:t>
            </w:r>
          </w:p>
        </w:tc>
      </w:tr>
    </w:tbl>
    <w:p w14:paraId="04669DC6" w14:textId="77777777" w:rsidR="007E17CA" w:rsidRDefault="007E17CA" w:rsidP="007E17CA">
      <w:pPr>
        <w:spacing w:after="0"/>
        <w:rPr>
          <w:b/>
        </w:rPr>
      </w:pPr>
    </w:p>
    <w:p w14:paraId="6FBF59A4" w14:textId="77777777" w:rsidR="007E17CA" w:rsidRDefault="007E17CA" w:rsidP="007E17CA">
      <w:pPr>
        <w:spacing w:after="0"/>
        <w:rPr>
          <w:b/>
        </w:rPr>
      </w:pPr>
      <w:r>
        <w:rPr>
          <w:b/>
        </w:rPr>
        <w:t>Contracts</w:t>
      </w:r>
    </w:p>
    <w:tbl>
      <w:tblPr>
        <w:tblStyle w:val="TableGrid"/>
        <w:tblW w:w="9535" w:type="dxa"/>
        <w:tblLook w:val="04A0" w:firstRow="1" w:lastRow="0" w:firstColumn="1" w:lastColumn="0" w:noHBand="0" w:noVBand="1"/>
      </w:tblPr>
      <w:tblGrid>
        <w:gridCol w:w="8545"/>
        <w:gridCol w:w="990"/>
      </w:tblGrid>
      <w:tr w:rsidR="007E17CA" w:rsidRPr="00856574" w14:paraId="727CAD8E" w14:textId="77777777" w:rsidTr="00F8522F">
        <w:tc>
          <w:tcPr>
            <w:tcW w:w="8545" w:type="dxa"/>
            <w:shd w:val="clear" w:color="auto" w:fill="BFBFBF" w:themeFill="background1" w:themeFillShade="BF"/>
          </w:tcPr>
          <w:p w14:paraId="1ADEE8EF" w14:textId="77777777" w:rsidR="007E17CA" w:rsidRPr="00856574" w:rsidRDefault="007E17CA" w:rsidP="00F8522F">
            <w:pPr>
              <w:jc w:val="center"/>
              <w:rPr>
                <w:b/>
              </w:rPr>
            </w:pPr>
            <w:r w:rsidRPr="00856574">
              <w:rPr>
                <w:b/>
              </w:rPr>
              <w:t>Requirement</w:t>
            </w:r>
          </w:p>
        </w:tc>
        <w:tc>
          <w:tcPr>
            <w:tcW w:w="990" w:type="dxa"/>
            <w:shd w:val="clear" w:color="auto" w:fill="BFBFBF" w:themeFill="background1" w:themeFillShade="BF"/>
          </w:tcPr>
          <w:p w14:paraId="749AD224" w14:textId="77777777" w:rsidR="007E17CA" w:rsidRPr="00856574" w:rsidRDefault="007E17CA" w:rsidP="00F8522F">
            <w:pPr>
              <w:jc w:val="center"/>
              <w:rPr>
                <w:b/>
              </w:rPr>
            </w:pPr>
            <w:r w:rsidRPr="00856574">
              <w:rPr>
                <w:b/>
              </w:rPr>
              <w:t>Source</w:t>
            </w:r>
          </w:p>
        </w:tc>
      </w:tr>
      <w:tr w:rsidR="007E17CA" w14:paraId="080C9338" w14:textId="77777777" w:rsidTr="00F8522F">
        <w:tc>
          <w:tcPr>
            <w:tcW w:w="8545" w:type="dxa"/>
          </w:tcPr>
          <w:p w14:paraId="6377F797" w14:textId="77777777" w:rsidR="007E17CA" w:rsidRDefault="007E17CA" w:rsidP="00F8522F">
            <w:r>
              <w:t>Ensure any contracts / assurances contain the exact wording in 29 CFR 38.25</w:t>
            </w:r>
          </w:p>
          <w:p w14:paraId="3427C07C" w14:textId="77777777" w:rsidR="00E84E82" w:rsidRDefault="00E84E82" w:rsidP="00F8522F"/>
          <w:p w14:paraId="76C8CDEA" w14:textId="77777777" w:rsidR="00E84E82" w:rsidRPr="00E84E82" w:rsidRDefault="00E84E82" w:rsidP="00E84E82">
            <w:pPr>
              <w:rPr>
                <w:i/>
              </w:rPr>
            </w:pPr>
            <w:r w:rsidRPr="00E84E82">
              <w:rPr>
                <w:i/>
              </w:rPr>
              <w:t>As a condition to the award of financial assistance from the Department of Labor under Title I of WIOA, the grant applicant assures that it has the ability to comply with the nondiscrimination and equal opportunity provisions of the following laws and will remain in compliance for the duration of the award of federal financial assistance:</w:t>
            </w:r>
          </w:p>
          <w:p w14:paraId="10908977" w14:textId="77777777" w:rsidR="00E84E82" w:rsidRPr="00E84E82" w:rsidRDefault="00E84E82" w:rsidP="00E84E82">
            <w:pPr>
              <w:rPr>
                <w:i/>
              </w:rPr>
            </w:pPr>
          </w:p>
          <w:p w14:paraId="13F64CA9" w14:textId="77777777" w:rsidR="00E84E82" w:rsidRPr="00E84E82" w:rsidRDefault="00E84E82" w:rsidP="00E84E82">
            <w:pPr>
              <w:rPr>
                <w:i/>
              </w:rPr>
            </w:pPr>
            <w:r w:rsidRPr="00E84E82">
              <w:rPr>
                <w:i/>
              </w:rPr>
              <w:t>(A) Section 188 of the Workforce Innovation and Opportunity Act (WIOA), which prohibits discrimination against all individuals in the United States on the basis of race, color, religion, sex (including pregnancy, childbirth, and related medical conditions, transgender status, and gender identity), national origin (including limited English proficiency), age, disability, or political affiliation or belief, or against beneficiaries on the basis of either citizenship status or participation in any WIOA Title I-financially assisted program or activity;</w:t>
            </w:r>
          </w:p>
          <w:p w14:paraId="6AE7AC3C" w14:textId="77777777" w:rsidR="00E84E82" w:rsidRPr="00E84E82" w:rsidRDefault="00E84E82" w:rsidP="00E84E82">
            <w:pPr>
              <w:rPr>
                <w:i/>
              </w:rPr>
            </w:pPr>
          </w:p>
          <w:p w14:paraId="54C76684" w14:textId="77777777" w:rsidR="00E84E82" w:rsidRPr="00E84E82" w:rsidRDefault="00E84E82" w:rsidP="00E84E82">
            <w:pPr>
              <w:rPr>
                <w:i/>
              </w:rPr>
            </w:pPr>
            <w:r w:rsidRPr="00E84E82">
              <w:rPr>
                <w:i/>
              </w:rPr>
              <w:t>(B) Title VI of the Civil Rights Act of 1964, as amended, which prohibits discrimination on the bases of race, color and national origin;</w:t>
            </w:r>
          </w:p>
          <w:p w14:paraId="00B4C560" w14:textId="77777777" w:rsidR="00E84E82" w:rsidRPr="00E84E82" w:rsidRDefault="00E84E82" w:rsidP="00E84E82">
            <w:pPr>
              <w:rPr>
                <w:i/>
              </w:rPr>
            </w:pPr>
          </w:p>
          <w:p w14:paraId="3204AB2C" w14:textId="77777777" w:rsidR="00E84E82" w:rsidRPr="00E84E82" w:rsidRDefault="00E84E82" w:rsidP="00E84E82">
            <w:pPr>
              <w:rPr>
                <w:i/>
              </w:rPr>
            </w:pPr>
            <w:r w:rsidRPr="00E84E82">
              <w:rPr>
                <w:i/>
              </w:rPr>
              <w:t>(C) Section 504 of the Rehabilitation Act of 1973, as amended, which prohibits discrimination against qualified individuals with disabilities;</w:t>
            </w:r>
          </w:p>
          <w:p w14:paraId="782792C5" w14:textId="77777777" w:rsidR="00E84E82" w:rsidRPr="00E84E82" w:rsidRDefault="00E84E82" w:rsidP="00E84E82">
            <w:pPr>
              <w:rPr>
                <w:i/>
              </w:rPr>
            </w:pPr>
          </w:p>
          <w:p w14:paraId="21368877" w14:textId="77777777" w:rsidR="00E84E82" w:rsidRPr="00E84E82" w:rsidRDefault="00E84E82" w:rsidP="00E84E82">
            <w:pPr>
              <w:rPr>
                <w:i/>
              </w:rPr>
            </w:pPr>
            <w:r w:rsidRPr="00E84E82">
              <w:rPr>
                <w:i/>
              </w:rPr>
              <w:t>(D) The Age Discrimination Act of 1975, as amended, which prohibits discrimination on the basis of age; and</w:t>
            </w:r>
          </w:p>
          <w:p w14:paraId="441E06E3" w14:textId="77777777" w:rsidR="00E84E82" w:rsidRPr="00E84E82" w:rsidRDefault="00E84E82" w:rsidP="00E84E82">
            <w:pPr>
              <w:rPr>
                <w:i/>
              </w:rPr>
            </w:pPr>
          </w:p>
          <w:p w14:paraId="4EFAFB25" w14:textId="77777777" w:rsidR="00E84E82" w:rsidRPr="00E84E82" w:rsidRDefault="00E84E82" w:rsidP="00E84E82">
            <w:pPr>
              <w:rPr>
                <w:i/>
              </w:rPr>
            </w:pPr>
            <w:r w:rsidRPr="00E84E82">
              <w:rPr>
                <w:i/>
              </w:rPr>
              <w:t>(E) Title IX of the Education Amendments of 1972, as amended, which prohibits discrimination on the basis of sex in educational programs.</w:t>
            </w:r>
          </w:p>
          <w:p w14:paraId="0D819BA0" w14:textId="77777777" w:rsidR="00E84E82" w:rsidRPr="00E84E82" w:rsidRDefault="00E84E82" w:rsidP="00E84E82">
            <w:pPr>
              <w:rPr>
                <w:i/>
              </w:rPr>
            </w:pPr>
          </w:p>
          <w:p w14:paraId="341B11CE" w14:textId="5A53C1C6" w:rsidR="00E84E82" w:rsidRDefault="00E84E82" w:rsidP="00E84E82">
            <w:r w:rsidRPr="00E84E82">
              <w:rPr>
                <w:i/>
              </w:rPr>
              <w:t>The grant applicant also assures that, as a recipient of WIOA Title I financial assistance, it will comply with 29 CFR part 38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p>
        </w:tc>
        <w:tc>
          <w:tcPr>
            <w:tcW w:w="990" w:type="dxa"/>
          </w:tcPr>
          <w:p w14:paraId="0D86D100" w14:textId="77777777" w:rsidR="007E17CA" w:rsidRDefault="007E17CA" w:rsidP="00F8522F">
            <w:r>
              <w:t>D</w:t>
            </w:r>
          </w:p>
        </w:tc>
      </w:tr>
    </w:tbl>
    <w:p w14:paraId="657870E2" w14:textId="77777777" w:rsidR="007E17CA" w:rsidRPr="00856574" w:rsidRDefault="007E17CA"/>
    <w:p w14:paraId="588F6804" w14:textId="16AE19C9" w:rsidR="00D64A3E" w:rsidRDefault="00894C1F" w:rsidP="001152C8">
      <w:pPr>
        <w:pStyle w:val="ListParagraph"/>
        <w:numPr>
          <w:ilvl w:val="0"/>
          <w:numId w:val="6"/>
        </w:numPr>
      </w:pPr>
      <w:hyperlink r:id="rId9" w:history="1">
        <w:r w:rsidR="001152C8" w:rsidRPr="00894C1F">
          <w:rPr>
            <w:rStyle w:val="Hyperlink"/>
          </w:rPr>
          <w:t>Contract Management Standards and Guideli</w:t>
        </w:r>
        <w:r w:rsidR="001152C8" w:rsidRPr="00894C1F">
          <w:rPr>
            <w:rStyle w:val="Hyperlink"/>
          </w:rPr>
          <w:t>n</w:t>
        </w:r>
        <w:r w:rsidR="001152C8" w:rsidRPr="00894C1F">
          <w:rPr>
            <w:rStyle w:val="Hyperlink"/>
          </w:rPr>
          <w:t>es</w:t>
        </w:r>
      </w:hyperlink>
    </w:p>
    <w:p w14:paraId="10963A19" w14:textId="0F1F783E" w:rsidR="001152C8" w:rsidRDefault="00E1204E" w:rsidP="001152C8">
      <w:pPr>
        <w:pStyle w:val="ListParagraph"/>
        <w:numPr>
          <w:ilvl w:val="0"/>
          <w:numId w:val="6"/>
        </w:numPr>
      </w:pPr>
      <w:hyperlink r:id="rId10" w:history="1">
        <w:r w:rsidR="001152C8" w:rsidRPr="00E1204E">
          <w:rPr>
            <w:rStyle w:val="Hyperlink"/>
          </w:rPr>
          <w:t>Equal Opportunity Standards and Gui</w:t>
        </w:r>
        <w:r w:rsidR="001152C8" w:rsidRPr="00E1204E">
          <w:rPr>
            <w:rStyle w:val="Hyperlink"/>
          </w:rPr>
          <w:t>d</w:t>
        </w:r>
        <w:r w:rsidR="001152C8" w:rsidRPr="00E1204E">
          <w:rPr>
            <w:rStyle w:val="Hyperlink"/>
          </w:rPr>
          <w:t>elines</w:t>
        </w:r>
      </w:hyperlink>
    </w:p>
    <w:p w14:paraId="6E3F7FFC" w14:textId="574B68BB" w:rsidR="001152C8" w:rsidRDefault="00894C1F" w:rsidP="001152C8">
      <w:pPr>
        <w:pStyle w:val="ListParagraph"/>
        <w:numPr>
          <w:ilvl w:val="0"/>
          <w:numId w:val="6"/>
        </w:numPr>
      </w:pPr>
      <w:hyperlink r:id="rId11" w:history="1">
        <w:r w:rsidR="001152C8" w:rsidRPr="00894C1F">
          <w:rPr>
            <w:rStyle w:val="Hyperlink"/>
          </w:rPr>
          <w:t xml:space="preserve">Monitoring and Oversight Standards </w:t>
        </w:r>
        <w:r w:rsidR="001152C8" w:rsidRPr="00894C1F">
          <w:rPr>
            <w:rStyle w:val="Hyperlink"/>
          </w:rPr>
          <w:t>a</w:t>
        </w:r>
        <w:r w:rsidR="001152C8" w:rsidRPr="00894C1F">
          <w:rPr>
            <w:rStyle w:val="Hyperlink"/>
          </w:rPr>
          <w:t>nd Gu</w:t>
        </w:r>
        <w:r w:rsidR="001152C8" w:rsidRPr="00894C1F">
          <w:rPr>
            <w:rStyle w:val="Hyperlink"/>
          </w:rPr>
          <w:t>i</w:t>
        </w:r>
        <w:r w:rsidR="001152C8" w:rsidRPr="00894C1F">
          <w:rPr>
            <w:rStyle w:val="Hyperlink"/>
          </w:rPr>
          <w:t>delines</w:t>
        </w:r>
      </w:hyperlink>
    </w:p>
    <w:p w14:paraId="151DDB83" w14:textId="7E3FD105" w:rsidR="001152C8" w:rsidRDefault="00451069" w:rsidP="001152C8">
      <w:pPr>
        <w:pStyle w:val="ListParagraph"/>
        <w:numPr>
          <w:ilvl w:val="0"/>
          <w:numId w:val="6"/>
        </w:numPr>
      </w:pPr>
      <w:hyperlink r:id="rId12" w:history="1">
        <w:r w:rsidR="001152C8" w:rsidRPr="00451069">
          <w:rPr>
            <w:rStyle w:val="Hyperlink"/>
          </w:rPr>
          <w:t>WIOA Section 188 Checklist</w:t>
        </w:r>
      </w:hyperlink>
      <w:bookmarkStart w:id="0" w:name="_GoBack"/>
      <w:bookmarkEnd w:id="0"/>
    </w:p>
    <w:sectPr w:rsidR="001152C8" w:rsidSect="00E30F1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1542A" w14:textId="77777777" w:rsidR="009D0A7B" w:rsidRDefault="009D0A7B" w:rsidP="005F63EB">
      <w:pPr>
        <w:spacing w:after="0" w:line="240" w:lineRule="auto"/>
      </w:pPr>
      <w:r>
        <w:separator/>
      </w:r>
    </w:p>
  </w:endnote>
  <w:endnote w:type="continuationSeparator" w:id="0">
    <w:p w14:paraId="1CA1E987" w14:textId="77777777" w:rsidR="009D0A7B" w:rsidRDefault="009D0A7B" w:rsidP="005F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E8D8" w14:textId="77777777" w:rsidR="00842D93" w:rsidRDefault="0084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3CC6" w14:textId="63E7648A" w:rsidR="00842D93" w:rsidRPr="00842D93" w:rsidRDefault="00842D93" w:rsidP="00842D93">
    <w:pPr>
      <w:tabs>
        <w:tab w:val="center" w:pos="4320"/>
        <w:tab w:val="right" w:pos="8640"/>
      </w:tabs>
      <w:spacing w:after="0" w:line="240" w:lineRule="auto"/>
      <w:rPr>
        <w:rFonts w:eastAsia="Times New Roman" w:cs="Times New Roman"/>
        <w:sz w:val="20"/>
        <w:szCs w:val="20"/>
      </w:rPr>
    </w:pPr>
    <w:r>
      <w:rPr>
        <w:rFonts w:eastAsia="Times New Roman" w:cs="Times New Roman"/>
        <w:sz w:val="20"/>
        <w:szCs w:val="20"/>
      </w:rPr>
      <w:t>VII</w:t>
    </w:r>
    <w:r w:rsidRPr="00842D93">
      <w:rPr>
        <w:rFonts w:eastAsia="Times New Roman" w:cs="Times New Roman"/>
        <w:sz w:val="20"/>
        <w:szCs w:val="20"/>
      </w:rPr>
      <w:t xml:space="preserve"> 1 </w:t>
    </w:r>
    <w:r>
      <w:rPr>
        <w:rFonts w:eastAsia="Times New Roman" w:cs="Times New Roman"/>
        <w:sz w:val="20"/>
        <w:szCs w:val="20"/>
      </w:rPr>
      <w:t>Equal Opportunity Requirements</w:t>
    </w:r>
    <w:r w:rsidRPr="00842D93">
      <w:rPr>
        <w:rFonts w:eastAsia="Times New Roman" w:cs="Times New Roman"/>
        <w:sz w:val="20"/>
        <w:szCs w:val="20"/>
      </w:rPr>
      <w:tab/>
    </w:r>
    <w:r w:rsidRPr="00842D93">
      <w:rPr>
        <w:rFonts w:eastAsia="Times New Roman" w:cs="Times New Roman"/>
        <w:sz w:val="20"/>
        <w:szCs w:val="20"/>
      </w:rPr>
      <w:tab/>
      <w:t>Page</w:t>
    </w:r>
    <w:r w:rsidRPr="00842D93">
      <w:rPr>
        <w:rFonts w:eastAsia="Times New Roman" w:cs="Times New Roman"/>
        <w:sz w:val="20"/>
        <w:szCs w:val="20"/>
      </w:rPr>
      <w:fldChar w:fldCharType="begin"/>
    </w:r>
    <w:r w:rsidRPr="00842D93">
      <w:rPr>
        <w:rFonts w:eastAsia="Times New Roman" w:cs="Times New Roman"/>
        <w:sz w:val="20"/>
        <w:szCs w:val="20"/>
      </w:rPr>
      <w:instrText xml:space="preserve"> PAGE </w:instrText>
    </w:r>
    <w:r w:rsidRPr="00842D93">
      <w:rPr>
        <w:rFonts w:eastAsia="Times New Roman" w:cs="Times New Roman"/>
        <w:sz w:val="20"/>
        <w:szCs w:val="20"/>
      </w:rPr>
      <w:fldChar w:fldCharType="separate"/>
    </w:r>
    <w:r w:rsidR="00451069">
      <w:rPr>
        <w:rFonts w:eastAsia="Times New Roman" w:cs="Times New Roman"/>
        <w:noProof/>
        <w:sz w:val="20"/>
        <w:szCs w:val="20"/>
      </w:rPr>
      <w:t>6</w:t>
    </w:r>
    <w:r w:rsidRPr="00842D93">
      <w:rPr>
        <w:rFonts w:eastAsia="Times New Roman" w:cs="Times New Roman"/>
        <w:sz w:val="20"/>
        <w:szCs w:val="20"/>
      </w:rPr>
      <w:fldChar w:fldCharType="end"/>
    </w:r>
    <w:r w:rsidRPr="00842D93">
      <w:rPr>
        <w:rFonts w:eastAsia="Times New Roman" w:cs="Times New Roman"/>
        <w:sz w:val="20"/>
        <w:szCs w:val="20"/>
      </w:rPr>
      <w:t xml:space="preserve"> of 1</w:t>
    </w:r>
  </w:p>
  <w:p w14:paraId="335BC0A1" w14:textId="77777777" w:rsidR="00842D93" w:rsidRDefault="00842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11D6" w14:textId="77777777" w:rsidR="00842D93" w:rsidRDefault="0084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EC8D8" w14:textId="77777777" w:rsidR="009D0A7B" w:rsidRDefault="009D0A7B" w:rsidP="005F63EB">
      <w:pPr>
        <w:spacing w:after="0" w:line="240" w:lineRule="auto"/>
      </w:pPr>
      <w:r>
        <w:separator/>
      </w:r>
    </w:p>
  </w:footnote>
  <w:footnote w:type="continuationSeparator" w:id="0">
    <w:p w14:paraId="0E8D1711" w14:textId="77777777" w:rsidR="009D0A7B" w:rsidRDefault="009D0A7B" w:rsidP="005F6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75EE6" w14:textId="77777777" w:rsidR="00842D93" w:rsidRDefault="0084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529D" w14:textId="77777777" w:rsidR="005F63EB" w:rsidRDefault="005F63EB" w:rsidP="005F63EB">
    <w:pPr>
      <w:jc w:val="center"/>
      <w:rPr>
        <w:b/>
        <w:sz w:val="36"/>
        <w:szCs w:val="36"/>
      </w:rPr>
    </w:pPr>
    <w:r>
      <w:rPr>
        <w:b/>
        <w:sz w:val="36"/>
        <w:szCs w:val="36"/>
      </w:rPr>
      <w:t>Equal Opportunity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2CF1" w14:textId="77777777" w:rsidR="00842D93" w:rsidRDefault="00842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5E59"/>
    <w:multiLevelType w:val="hybridMultilevel"/>
    <w:tmpl w:val="9FAE5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27A0E"/>
    <w:multiLevelType w:val="hybridMultilevel"/>
    <w:tmpl w:val="8A72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31489"/>
    <w:multiLevelType w:val="hybridMultilevel"/>
    <w:tmpl w:val="5C52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F74A6"/>
    <w:multiLevelType w:val="hybridMultilevel"/>
    <w:tmpl w:val="A7EA4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C21E8"/>
    <w:multiLevelType w:val="hybridMultilevel"/>
    <w:tmpl w:val="5CB64E4A"/>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5B6C0406"/>
    <w:multiLevelType w:val="hybridMultilevel"/>
    <w:tmpl w:val="07746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5525F1"/>
    <w:multiLevelType w:val="hybridMultilevel"/>
    <w:tmpl w:val="44445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A7D52"/>
    <w:multiLevelType w:val="hybridMultilevel"/>
    <w:tmpl w:val="D1D8D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D2"/>
    <w:rsid w:val="00090BD7"/>
    <w:rsid w:val="000965A7"/>
    <w:rsid w:val="000A7B93"/>
    <w:rsid w:val="00106B6F"/>
    <w:rsid w:val="001152C8"/>
    <w:rsid w:val="001E14FE"/>
    <w:rsid w:val="00206D1E"/>
    <w:rsid w:val="00297037"/>
    <w:rsid w:val="003538D2"/>
    <w:rsid w:val="003774C0"/>
    <w:rsid w:val="00442AB1"/>
    <w:rsid w:val="00451069"/>
    <w:rsid w:val="0047798E"/>
    <w:rsid w:val="004E69BB"/>
    <w:rsid w:val="005207BF"/>
    <w:rsid w:val="005F63EB"/>
    <w:rsid w:val="00676EFF"/>
    <w:rsid w:val="006E279B"/>
    <w:rsid w:val="0079588B"/>
    <w:rsid w:val="007B3505"/>
    <w:rsid w:val="007E17CA"/>
    <w:rsid w:val="00842D93"/>
    <w:rsid w:val="00856574"/>
    <w:rsid w:val="00894C1F"/>
    <w:rsid w:val="009427FE"/>
    <w:rsid w:val="009D0A7B"/>
    <w:rsid w:val="009F4E15"/>
    <w:rsid w:val="00AC7A31"/>
    <w:rsid w:val="00C9612E"/>
    <w:rsid w:val="00CA53AC"/>
    <w:rsid w:val="00CB5D9E"/>
    <w:rsid w:val="00D64A3E"/>
    <w:rsid w:val="00DA6AA3"/>
    <w:rsid w:val="00E1204E"/>
    <w:rsid w:val="00E30F19"/>
    <w:rsid w:val="00E84E82"/>
    <w:rsid w:val="00FC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0C3D"/>
  <w15:chartTrackingRefBased/>
  <w15:docId w15:val="{AED3BE5D-F91C-4B42-BE65-6ADE4D8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588B"/>
  </w:style>
  <w:style w:type="paragraph" w:styleId="Heading1">
    <w:name w:val="heading 1"/>
    <w:basedOn w:val="Normal"/>
    <w:next w:val="Normal"/>
    <w:link w:val="Heading1Char"/>
    <w:uiPriority w:val="9"/>
    <w:qFormat/>
    <w:rsid w:val="003538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538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uiPriority w:val="9"/>
    <w:unhideWhenUsed/>
    <w:qFormat/>
    <w:rsid w:val="00297037"/>
    <w:pPr>
      <w:spacing w:after="0" w:line="240" w:lineRule="auto"/>
      <w:contextualSpacing/>
      <w:outlineLvl w:val="2"/>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97037"/>
    <w:rPr>
      <w:b/>
      <w:i/>
      <w:snapToGrid w:val="0"/>
    </w:rPr>
  </w:style>
  <w:style w:type="character" w:customStyle="1" w:styleId="Heading1Char">
    <w:name w:val="Heading 1 Char"/>
    <w:basedOn w:val="DefaultParagraphFont"/>
    <w:link w:val="Heading1"/>
    <w:uiPriority w:val="9"/>
    <w:rsid w:val="003538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538D2"/>
    <w:rPr>
      <w:rFonts w:asciiTheme="majorHAnsi" w:eastAsiaTheme="majorEastAsia" w:hAnsiTheme="majorHAnsi" w:cstheme="majorBidi"/>
      <w:color w:val="365F91" w:themeColor="accent1" w:themeShade="BF"/>
      <w:sz w:val="26"/>
      <w:szCs w:val="26"/>
    </w:rPr>
  </w:style>
  <w:style w:type="paragraph" w:customStyle="1" w:styleId="Blockquote">
    <w:name w:val="Blockquote"/>
    <w:basedOn w:val="Normal"/>
    <w:rsid w:val="00D64A3E"/>
    <w:pPr>
      <w:widowControl w:val="0"/>
      <w:spacing w:before="100" w:after="100" w:line="240" w:lineRule="auto"/>
      <w:ind w:left="360" w:right="360"/>
    </w:pPr>
    <w:rPr>
      <w:rFonts w:eastAsia="Times New Roman" w:cs="Times New Roman"/>
      <w:snapToGrid w:val="0"/>
      <w:szCs w:val="20"/>
    </w:rPr>
  </w:style>
  <w:style w:type="table" w:styleId="TableGrid">
    <w:name w:val="Table Grid"/>
    <w:basedOn w:val="TableNormal"/>
    <w:uiPriority w:val="59"/>
    <w:rsid w:val="00856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2C8"/>
    <w:pPr>
      <w:ind w:left="720"/>
      <w:contextualSpacing/>
    </w:pPr>
  </w:style>
  <w:style w:type="paragraph" w:styleId="Header">
    <w:name w:val="header"/>
    <w:basedOn w:val="Normal"/>
    <w:link w:val="HeaderChar"/>
    <w:uiPriority w:val="99"/>
    <w:unhideWhenUsed/>
    <w:rsid w:val="005F6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3EB"/>
  </w:style>
  <w:style w:type="paragraph" w:styleId="Footer">
    <w:name w:val="footer"/>
    <w:basedOn w:val="Normal"/>
    <w:link w:val="FooterChar"/>
    <w:uiPriority w:val="99"/>
    <w:unhideWhenUsed/>
    <w:rsid w:val="005F6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3EB"/>
  </w:style>
  <w:style w:type="paragraph" w:styleId="BalloonText">
    <w:name w:val="Balloon Text"/>
    <w:basedOn w:val="Normal"/>
    <w:link w:val="BalloonTextChar"/>
    <w:uiPriority w:val="99"/>
    <w:semiHidden/>
    <w:unhideWhenUsed/>
    <w:rsid w:val="00C96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2E"/>
    <w:rPr>
      <w:rFonts w:ascii="Segoe UI" w:hAnsi="Segoe UI" w:cs="Segoe UI"/>
      <w:sz w:val="18"/>
      <w:szCs w:val="18"/>
    </w:rPr>
  </w:style>
  <w:style w:type="character" w:styleId="CommentReference">
    <w:name w:val="annotation reference"/>
    <w:basedOn w:val="DefaultParagraphFont"/>
    <w:uiPriority w:val="99"/>
    <w:semiHidden/>
    <w:unhideWhenUsed/>
    <w:rsid w:val="000965A7"/>
    <w:rPr>
      <w:sz w:val="16"/>
      <w:szCs w:val="16"/>
    </w:rPr>
  </w:style>
  <w:style w:type="paragraph" w:styleId="CommentText">
    <w:name w:val="annotation text"/>
    <w:basedOn w:val="Normal"/>
    <w:link w:val="CommentTextChar"/>
    <w:uiPriority w:val="99"/>
    <w:semiHidden/>
    <w:unhideWhenUsed/>
    <w:rsid w:val="000965A7"/>
    <w:pPr>
      <w:spacing w:line="240" w:lineRule="auto"/>
    </w:pPr>
    <w:rPr>
      <w:sz w:val="20"/>
      <w:szCs w:val="20"/>
    </w:rPr>
  </w:style>
  <w:style w:type="character" w:customStyle="1" w:styleId="CommentTextChar">
    <w:name w:val="Comment Text Char"/>
    <w:basedOn w:val="DefaultParagraphFont"/>
    <w:link w:val="CommentText"/>
    <w:uiPriority w:val="99"/>
    <w:semiHidden/>
    <w:rsid w:val="000965A7"/>
    <w:rPr>
      <w:sz w:val="20"/>
      <w:szCs w:val="20"/>
    </w:rPr>
  </w:style>
  <w:style w:type="paragraph" w:styleId="CommentSubject">
    <w:name w:val="annotation subject"/>
    <w:basedOn w:val="CommentText"/>
    <w:next w:val="CommentText"/>
    <w:link w:val="CommentSubjectChar"/>
    <w:uiPriority w:val="99"/>
    <w:semiHidden/>
    <w:unhideWhenUsed/>
    <w:rsid w:val="000965A7"/>
    <w:rPr>
      <w:b/>
      <w:bCs/>
    </w:rPr>
  </w:style>
  <w:style w:type="character" w:customStyle="1" w:styleId="CommentSubjectChar">
    <w:name w:val="Comment Subject Char"/>
    <w:basedOn w:val="CommentTextChar"/>
    <w:link w:val="CommentSubject"/>
    <w:uiPriority w:val="99"/>
    <w:semiHidden/>
    <w:rsid w:val="000965A7"/>
    <w:rPr>
      <w:b/>
      <w:bCs/>
      <w:sz w:val="20"/>
      <w:szCs w:val="20"/>
    </w:rPr>
  </w:style>
  <w:style w:type="character" w:styleId="Hyperlink">
    <w:name w:val="Hyperlink"/>
    <w:basedOn w:val="DefaultParagraphFont"/>
    <w:uiPriority w:val="99"/>
    <w:unhideWhenUsed/>
    <w:rsid w:val="003774C0"/>
    <w:rPr>
      <w:color w:val="0000FF" w:themeColor="hyperlink"/>
      <w:u w:val="single"/>
    </w:rPr>
  </w:style>
  <w:style w:type="character" w:styleId="Mention">
    <w:name w:val="Mention"/>
    <w:basedOn w:val="DefaultParagraphFont"/>
    <w:uiPriority w:val="99"/>
    <w:semiHidden/>
    <w:unhideWhenUsed/>
    <w:rsid w:val="00E1204E"/>
    <w:rPr>
      <w:color w:val="2B579A"/>
      <w:shd w:val="clear" w:color="auto" w:fill="E6E6E6"/>
    </w:rPr>
  </w:style>
  <w:style w:type="character" w:styleId="FollowedHyperlink">
    <w:name w:val="FollowedHyperlink"/>
    <w:basedOn w:val="DefaultParagraphFont"/>
    <w:uiPriority w:val="99"/>
    <w:semiHidden/>
    <w:unhideWhenUsed/>
    <w:rsid w:val="00E12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6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89ff6dbd823ea639b32dd66b9a5d8d17&amp;mc=true&amp;node=pt29.1.32&amp;rgn=div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cfr.gov/cgi-bin/text-idx?SID=fc63f0746f3c8cb9d0a42a3c6ef00708&amp;mc=true&amp;tpl=/ecfrbrowse/Title29/29cfr38_main_02.tpl" TargetMode="External"/><Relationship Id="rId12" Type="http://schemas.openxmlformats.org/officeDocument/2006/relationships/hyperlink" Target="http://www.wrksolutions.com/Documents/Staff/EEO/wioa-section-188-review-checklist-twc.doc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rksolutions.com/Documents/Staff/contractmanagementpp/Monitoring-and-Oversight-Standards-and-Guideline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rksolutions.com/Documents/Staff/EEO/Equal-Opportunity-Standards-and-Guidelines.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rksolutions.com/Documents/Staff/contractmanagementpp/Contract-Management-Policies-and-Procedures.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Bobi</dc:creator>
  <cp:keywords/>
  <dc:description/>
  <cp:lastModifiedBy>Nguyen, Dat</cp:lastModifiedBy>
  <cp:revision>15</cp:revision>
  <cp:lastPrinted>2017-01-30T20:33:00Z</cp:lastPrinted>
  <dcterms:created xsi:type="dcterms:W3CDTF">2017-01-23T21:50:00Z</dcterms:created>
  <dcterms:modified xsi:type="dcterms:W3CDTF">2017-04-13T13:27:00Z</dcterms:modified>
</cp:coreProperties>
</file>